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napToGrid/>
        <w:spacing w:line="52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1</w:t>
      </w:r>
    </w:p>
    <w:p>
      <w:pPr>
        <w:pageBreakBefore w:val="0"/>
        <w:kinsoku/>
        <w:wordWrap/>
        <w:overflowPunct/>
        <w:topLinePunct w:val="0"/>
        <w:autoSpaceDE/>
        <w:autoSpaceDN/>
        <w:bidi w:val="0"/>
        <w:snapToGrid/>
        <w:spacing w:line="520" w:lineRule="exact"/>
        <w:jc w:val="both"/>
        <w:textAlignment w:val="auto"/>
        <w:rPr>
          <w:rFonts w:hint="eastAsia" w:ascii="宋体" w:hAnsi="宋体" w:eastAsia="宋体" w:cs="宋体"/>
          <w:b/>
          <w:bCs/>
          <w:sz w:val="44"/>
          <w:szCs w:val="44"/>
          <w:lang w:eastAsia="zh-CN"/>
        </w:rPr>
      </w:pPr>
    </w:p>
    <w:p>
      <w:pPr>
        <w:pageBreakBefore w:val="0"/>
        <w:kinsoku/>
        <w:wordWrap/>
        <w:overflowPunct/>
        <w:topLinePunct w:val="0"/>
        <w:autoSpaceDE/>
        <w:autoSpaceDN/>
        <w:bidi w:val="0"/>
        <w:snapToGrid/>
        <w:spacing w:line="52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2020年度宝安区专业服务业资金扶持申请</w:t>
      </w:r>
    </w:p>
    <w:p>
      <w:pPr>
        <w:pageBreakBefore w:val="0"/>
        <w:kinsoku/>
        <w:wordWrap/>
        <w:overflowPunct/>
        <w:topLinePunct w:val="0"/>
        <w:autoSpaceDE/>
        <w:autoSpaceDN/>
        <w:bidi w:val="0"/>
        <w:snapToGrid/>
        <w:spacing w:line="52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（法律服务类）申报指南</w:t>
      </w:r>
    </w:p>
    <w:p>
      <w:pPr>
        <w:keepNext w:val="0"/>
        <w:keepLines w:val="0"/>
        <w:pageBreakBefore w:val="0"/>
        <w:kinsoku/>
        <w:wordWrap/>
        <w:overflowPunct/>
        <w:topLinePunct w:val="0"/>
        <w:autoSpaceDE/>
        <w:autoSpaceDN/>
        <w:bidi w:val="0"/>
        <w:adjustRightInd/>
        <w:snapToGrid/>
        <w:spacing w:beforeAutospacing="0" w:line="520" w:lineRule="exact"/>
        <w:textAlignment w:val="auto"/>
        <w:rPr>
          <w:rFonts w:hint="eastAsia" w:ascii="仿宋_GB2312" w:hAnsi="仿宋_GB2312" w:eastAsia="仿宋_GB2312" w:cs="仿宋_GB2312"/>
          <w:sz w:val="32"/>
          <w:szCs w:val="32"/>
        </w:rPr>
      </w:pPr>
    </w:p>
    <w:p>
      <w:pPr>
        <w:pStyle w:val="2"/>
        <w:pageBreakBefore w:val="0"/>
        <w:kinsoku/>
        <w:wordWrap/>
        <w:overflowPunct/>
        <w:topLinePunct w:val="0"/>
        <w:autoSpaceDE/>
        <w:autoSpaceDN/>
        <w:bidi w:val="0"/>
        <w:snapToGrid/>
        <w:spacing w:line="52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申报</w:t>
      </w:r>
      <w:r>
        <w:rPr>
          <w:rFonts w:hint="eastAsia" w:ascii="黑体" w:hAnsi="黑体" w:eastAsia="黑体" w:cs="黑体"/>
          <w:b w:val="0"/>
          <w:bCs/>
          <w:sz w:val="32"/>
          <w:szCs w:val="32"/>
          <w:lang w:eastAsia="zh-CN"/>
        </w:rPr>
        <w:t>条件及补贴标准</w:t>
      </w:r>
    </w:p>
    <w:p>
      <w:pPr>
        <w:keepNext w:val="0"/>
        <w:keepLines w:val="0"/>
        <w:pageBreakBefore w:val="0"/>
        <w:kinsoku/>
        <w:wordWrap/>
        <w:overflowPunct/>
        <w:topLinePunct w:val="0"/>
        <w:autoSpaceDE/>
        <w:autoSpaceDN/>
        <w:bidi w:val="0"/>
        <w:adjustRightInd/>
        <w:snapToGrid/>
        <w:spacing w:beforeAutospacing="0" w:line="520" w:lineRule="exact"/>
        <w:ind w:firstLine="643" w:firstLineChars="200"/>
        <w:textAlignment w:val="auto"/>
        <w:rPr>
          <w:rFonts w:hint="eastAsia" w:ascii="楷体" w:hAnsi="楷体" w:eastAsia="楷体" w:cs="楷体"/>
          <w:b/>
          <w:bCs/>
          <w:lang w:val="en-US" w:eastAsia="zh-CN"/>
        </w:rPr>
      </w:pPr>
      <w:r>
        <w:rPr>
          <w:rFonts w:hint="eastAsia" w:ascii="楷体" w:hAnsi="楷体" w:eastAsia="楷体" w:cs="楷体"/>
          <w:b/>
          <w:bCs/>
          <w:sz w:val="32"/>
          <w:szCs w:val="32"/>
          <w:lang w:val="en-US" w:eastAsia="zh-CN"/>
        </w:rPr>
        <w:t>（一）优质企业奖励</w:t>
      </w:r>
    </w:p>
    <w:p>
      <w:pPr>
        <w:pStyle w:val="4"/>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申报条件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（1）基本条件：在宝安区依法设立、</w:t>
      </w:r>
      <w:r>
        <w:rPr>
          <w:rFonts w:hint="eastAsia" w:ascii="仿宋_GB2312" w:hAnsi="仿宋_GB2312" w:eastAsia="仿宋_GB2312" w:cs="仿宋_GB2312"/>
          <w:b/>
          <w:bCs/>
          <w:sz w:val="32"/>
          <w:szCs w:val="32"/>
          <w:lang w:val="en-US" w:eastAsia="zh-CN"/>
        </w:rPr>
        <w:t>依法纳统</w:t>
      </w:r>
      <w:r>
        <w:rPr>
          <w:rFonts w:hint="eastAsia" w:ascii="仿宋_GB2312" w:hAnsi="仿宋_GB2312" w:eastAsia="仿宋_GB2312" w:cs="仿宋_GB2312"/>
          <w:b w:val="0"/>
          <w:bCs w:val="0"/>
          <w:sz w:val="32"/>
          <w:szCs w:val="32"/>
          <w:lang w:val="en-US" w:eastAsia="zh-CN"/>
        </w:rPr>
        <w:t>、依法纳税，从事法律服务的律师事务所。</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（2）申报主体符合上述基本条件，并符合以下条件之一，可提出申请：</w:t>
      </w:r>
    </w:p>
    <w:p>
      <w:pPr>
        <w:pStyle w:val="27"/>
        <w:pageBreakBefore w:val="0"/>
        <w:widowControl/>
        <w:shd w:val="clear" w:color="auto"/>
        <w:kinsoku/>
        <w:wordWrap/>
        <w:overflowPunct/>
        <w:topLinePunct w:val="0"/>
        <w:autoSpaceDE/>
        <w:autoSpaceDN/>
        <w:bidi w:val="0"/>
        <w:adjustRightInd w:val="0"/>
        <w:snapToGrid/>
        <w:spacing w:line="520" w:lineRule="exact"/>
        <w:ind w:firstLine="640"/>
        <w:textAlignment w:val="auto"/>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①在宝安区上年度执业律师人数30人以上、年营业额3000万元及以上且纳税200万元及以上的律师事务所;</w:t>
      </w:r>
    </w:p>
    <w:p>
      <w:pPr>
        <w:pageBreakBefore w:val="0"/>
        <w:widowControl/>
        <w:shd w:val="clear" w:color="auto"/>
        <w:kinsoku/>
        <w:wordWrap/>
        <w:overflowPunct/>
        <w:topLinePunct w:val="0"/>
        <w:autoSpaceDE/>
        <w:autoSpaceDN/>
        <w:bidi w:val="0"/>
        <w:adjustRightInd w:val="0"/>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②获中华全国律师协会、广东省律师协会认定的优秀律师事务所。</w:t>
      </w:r>
    </w:p>
    <w:p>
      <w:pPr>
        <w:pStyle w:val="4"/>
        <w:pageBreakBefore w:val="0"/>
        <w:kinsoku/>
        <w:wordWrap/>
        <w:overflowPunct/>
        <w:topLinePunct w:val="0"/>
        <w:autoSpaceDE/>
        <w:autoSpaceDN/>
        <w:bidi w:val="0"/>
        <w:snapToGrid/>
        <w:spacing w:line="520" w:lineRule="exact"/>
        <w:ind w:firstLine="643" w:firstLineChars="20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2、补贴标准</w:t>
      </w:r>
    </w:p>
    <w:p>
      <w:pPr>
        <w:pageBreakBefore w:val="0"/>
        <w:widowControl/>
        <w:shd w:val="clear" w:color="auto"/>
        <w:kinsoku/>
        <w:wordWrap/>
        <w:overflowPunct/>
        <w:topLinePunct w:val="0"/>
        <w:autoSpaceDE/>
        <w:autoSpaceDN/>
        <w:bidi w:val="0"/>
        <w:adjustRightInd w:val="0"/>
        <w:snapToGrid/>
        <w:spacing w:line="520" w:lineRule="exact"/>
        <w:ind w:firstLine="420" w:firstLineChars="200"/>
        <w:jc w:val="left"/>
        <w:textAlignment w:val="auto"/>
        <w:rPr>
          <w:rFonts w:hint="default"/>
          <w:lang w:val="en-US" w:eastAsia="zh-CN"/>
        </w:rPr>
      </w:pPr>
      <w:r>
        <w:rPr>
          <w:rFonts w:hint="eastAsia"/>
          <w:lang w:val="en-US" w:eastAsia="zh-CN"/>
        </w:rPr>
        <w:t xml:space="preserve">  </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对符合条件的企业，</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按照其上年度区级财政贡献全额给予一次性奖励，最高不超过500万元。</w:t>
      </w:r>
    </w:p>
    <w:p>
      <w:pPr>
        <w:pStyle w:val="3"/>
        <w:pageBreakBefore w:val="0"/>
        <w:numPr>
          <w:ilvl w:val="0"/>
          <w:numId w:val="0"/>
        </w:numPr>
        <w:kinsoku/>
        <w:wordWrap/>
        <w:overflowPunct/>
        <w:topLinePunct w:val="0"/>
        <w:autoSpaceDE/>
        <w:autoSpaceDN/>
        <w:bidi w:val="0"/>
        <w:snapToGrid/>
        <w:spacing w:line="520" w:lineRule="exact"/>
        <w:ind w:firstLine="643" w:firstLineChars="200"/>
        <w:textAlignment w:val="auto"/>
        <w:rPr>
          <w:rFonts w:hint="eastAsia" w:ascii="楷体" w:hAnsi="楷体" w:eastAsia="楷体" w:cs="楷体"/>
          <w:lang w:val="en-US" w:eastAsia="zh-CN"/>
        </w:rPr>
      </w:pPr>
      <w:r>
        <w:rPr>
          <w:rFonts w:hint="eastAsia" w:ascii="楷体" w:hAnsi="楷体" w:eastAsia="楷体" w:cs="楷体"/>
          <w:lang w:val="en-US" w:eastAsia="zh-CN"/>
        </w:rPr>
        <w:t>（二）经营发展奖励</w:t>
      </w:r>
    </w:p>
    <w:p>
      <w:pPr>
        <w:pStyle w:val="4"/>
        <w:pageBreakBefore w:val="0"/>
        <w:numPr>
          <w:ilvl w:val="0"/>
          <w:numId w:val="0"/>
        </w:numPr>
        <w:kinsoku/>
        <w:wordWrap/>
        <w:overflowPunct/>
        <w:topLinePunct w:val="0"/>
        <w:autoSpaceDE/>
        <w:autoSpaceDN/>
        <w:bidi w:val="0"/>
        <w:snapToGrid/>
        <w:spacing w:line="520" w:lineRule="exact"/>
        <w:ind w:left="800" w:leftChars="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1、申报条件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（1）基本条件：在宝安区依法设立、</w:t>
      </w:r>
      <w:r>
        <w:rPr>
          <w:rFonts w:hint="eastAsia" w:ascii="仿宋_GB2312" w:hAnsi="仿宋_GB2312" w:eastAsia="仿宋_GB2312" w:cs="仿宋_GB2312"/>
          <w:b/>
          <w:bCs/>
          <w:sz w:val="32"/>
          <w:szCs w:val="32"/>
          <w:lang w:val="en-US" w:eastAsia="zh-CN"/>
        </w:rPr>
        <w:t>依法纳统</w:t>
      </w:r>
      <w:r>
        <w:rPr>
          <w:rFonts w:hint="eastAsia" w:ascii="仿宋_GB2312" w:hAnsi="仿宋_GB2312" w:eastAsia="仿宋_GB2312" w:cs="仿宋_GB2312"/>
          <w:b w:val="0"/>
          <w:bCs w:val="0"/>
          <w:sz w:val="32"/>
          <w:szCs w:val="32"/>
          <w:lang w:val="en-US" w:eastAsia="zh-CN"/>
        </w:rPr>
        <w:t>、依法纳税，从事法律服务的律师事务所。</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（2）申报主体符合上述基本条件，并符合以下条件之一，可提出申请：</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①</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申报年上一</w:t>
      </w: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自然</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年度首次新增纳入</w:t>
      </w: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宝安</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区统计数据库的规模以上</w:t>
      </w: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专业服务业企业；</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②规模以上的专业服务业企业在宝安区经营增长。</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注意事项：企业首次新增日期从受理公告发布之日的上一个自然年度起算（即上一年度的1月1日至12月31日）。其中：①上述所指的上一个自然年度前是否曾纳入或退出过“四上企业”库的情形不再追溯，仅考虑是否在1月1日后首次新增纳入本区“四上企业”数据库；</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②上一自然年度1月1日后退出“四上企业”库又再次入库的情形不纳入奖励范围；</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③上一自然年度1月1日后转换“四上企业”库中专业类别的情形不纳入奖励范围；</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④政策申报面向申报年上一自然年度新增纳入宝安区统计数据库的“四上企业”，逾期未申报将不再受理；自其他区迁入宝安区的规上企业不纳入奖励范围。</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2、补贴标准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b w:val="0"/>
          <w:bCs w:val="0"/>
          <w:sz w:val="32"/>
          <w:szCs w:val="32"/>
          <w:lang w:val="en-US" w:eastAsia="zh-CN"/>
        </w:rPr>
        <w:t>（1）对首次纳入宝安区统计库的规模以上专业服务业企业，</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给予10万元的一次性奖励</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（如此项奖励与区其他政策有重复，企业只能择其一进行申请，不得重复申请）</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2）</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对规模以上的专业</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服务业</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企业在</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宝安区</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经营增长的，给予经营增长奖励，金额为上一年度形成区级财政贡献金额超过前一年度金额的增量部分的50%，最高不超过300万元。</w:t>
      </w:r>
    </w:p>
    <w:p>
      <w:pPr>
        <w:pStyle w:val="3"/>
        <w:pageBreakBefore w:val="0"/>
        <w:numPr>
          <w:ilvl w:val="0"/>
          <w:numId w:val="0"/>
        </w:numPr>
        <w:kinsoku/>
        <w:wordWrap/>
        <w:overflowPunct/>
        <w:topLinePunct w:val="0"/>
        <w:autoSpaceDE/>
        <w:autoSpaceDN/>
        <w:bidi w:val="0"/>
        <w:snapToGrid/>
        <w:spacing w:line="520" w:lineRule="exact"/>
        <w:ind w:firstLine="643" w:firstLineChars="200"/>
        <w:textAlignment w:val="auto"/>
        <w:rPr>
          <w:rFonts w:hint="eastAsia" w:ascii="楷体" w:hAnsi="楷体" w:eastAsia="楷体" w:cs="楷体"/>
          <w:lang w:val="en-US" w:eastAsia="zh-CN"/>
        </w:rPr>
      </w:pPr>
      <w:r>
        <w:rPr>
          <w:rFonts w:hint="eastAsia" w:ascii="楷体" w:hAnsi="楷体" w:eastAsia="楷体" w:cs="楷体"/>
          <w:lang w:val="en-US" w:eastAsia="zh-CN"/>
        </w:rPr>
        <w:t>（三）专业活动奖励</w:t>
      </w:r>
    </w:p>
    <w:p>
      <w:pPr>
        <w:pStyle w:val="4"/>
        <w:pageBreakBefore w:val="0"/>
        <w:numPr>
          <w:ilvl w:val="0"/>
          <w:numId w:val="0"/>
        </w:numPr>
        <w:kinsoku/>
        <w:wordWrap/>
        <w:overflowPunct/>
        <w:topLinePunct w:val="0"/>
        <w:autoSpaceDE/>
        <w:autoSpaceDN/>
        <w:bidi w:val="0"/>
        <w:snapToGrid/>
        <w:spacing w:line="520" w:lineRule="exact"/>
        <w:ind w:left="800" w:leftChars="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1、申报条件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（1）基本条件：在宝安区依法设立、</w:t>
      </w:r>
      <w:r>
        <w:rPr>
          <w:rFonts w:hint="eastAsia" w:ascii="仿宋_GB2312" w:hAnsi="仿宋_GB2312" w:eastAsia="仿宋_GB2312" w:cs="仿宋_GB2312"/>
          <w:b/>
          <w:bCs/>
          <w:sz w:val="32"/>
          <w:szCs w:val="32"/>
          <w:lang w:val="en-US" w:eastAsia="zh-CN"/>
        </w:rPr>
        <w:t>依法纳统</w:t>
      </w:r>
      <w:r>
        <w:rPr>
          <w:rFonts w:hint="eastAsia" w:ascii="仿宋_GB2312" w:hAnsi="仿宋_GB2312" w:eastAsia="仿宋_GB2312" w:cs="仿宋_GB2312"/>
          <w:b w:val="0"/>
          <w:bCs w:val="0"/>
          <w:sz w:val="32"/>
          <w:szCs w:val="32"/>
          <w:lang w:val="en-US" w:eastAsia="zh-CN"/>
        </w:rPr>
        <w:t>、依法纳税，从事法律服务的律师事务所。</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（2）申报主体符合上述基本条件，并同时符合以下条件，可提出申请：</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①</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举办的</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专业</w:t>
      </w:r>
      <w:r>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服务业峰会、论坛、学术会议等</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需</w:t>
      </w:r>
      <w:r>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经区产业</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发展工作领导小组同意支持</w:t>
      </w: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②专业</w:t>
      </w:r>
      <w:r>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服务业峰会、论坛、学术会议</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需</w:t>
      </w:r>
      <w:r>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在宝安区举办。</w:t>
      </w:r>
    </w:p>
    <w:p>
      <w:pPr>
        <w:pStyle w:val="4"/>
        <w:pageBreakBefore w:val="0"/>
        <w:kinsoku/>
        <w:wordWrap/>
        <w:overflowPunct/>
        <w:topLinePunct w:val="0"/>
        <w:autoSpaceDE/>
        <w:autoSpaceDN/>
        <w:bidi w:val="0"/>
        <w:snapToGrid/>
        <w:spacing w:line="520" w:lineRule="exact"/>
        <w:ind w:firstLine="643" w:firstLineChars="20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2、补贴标准</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1）</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按实际投入费用的50%给予承办单位补贴，最高不超过100万元；</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2）</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对由区政府作为指导单位举办的，按实际投入费用的100%给予主办单位补贴，最高不超过200万元。</w:t>
      </w:r>
    </w:p>
    <w:p>
      <w:pPr>
        <w:pStyle w:val="3"/>
        <w:pageBreakBefore w:val="0"/>
        <w:numPr>
          <w:ilvl w:val="0"/>
          <w:numId w:val="0"/>
        </w:numPr>
        <w:kinsoku/>
        <w:wordWrap/>
        <w:overflowPunct/>
        <w:topLinePunct w:val="0"/>
        <w:autoSpaceDE/>
        <w:autoSpaceDN/>
        <w:bidi w:val="0"/>
        <w:snapToGrid/>
        <w:spacing w:line="520" w:lineRule="exact"/>
        <w:ind w:firstLine="643" w:firstLineChars="200"/>
        <w:textAlignment w:val="auto"/>
        <w:rPr>
          <w:rFonts w:hint="eastAsia" w:ascii="楷体" w:hAnsi="楷体" w:eastAsia="楷体" w:cs="楷体"/>
          <w:lang w:val="en-US" w:eastAsia="zh-CN"/>
        </w:rPr>
      </w:pPr>
      <w:r>
        <w:rPr>
          <w:rFonts w:hint="eastAsia" w:ascii="楷体" w:hAnsi="楷体" w:eastAsia="楷体" w:cs="楷体"/>
          <w:lang w:val="en-US" w:eastAsia="zh-CN"/>
        </w:rPr>
        <w:t>（四）办公用房租金补贴</w:t>
      </w:r>
    </w:p>
    <w:p>
      <w:pPr>
        <w:pStyle w:val="4"/>
        <w:pageBreakBefore w:val="0"/>
        <w:numPr>
          <w:ilvl w:val="0"/>
          <w:numId w:val="0"/>
        </w:numPr>
        <w:kinsoku/>
        <w:wordWrap/>
        <w:overflowPunct/>
        <w:topLinePunct w:val="0"/>
        <w:autoSpaceDE/>
        <w:autoSpaceDN/>
        <w:bidi w:val="0"/>
        <w:snapToGrid/>
        <w:spacing w:line="520" w:lineRule="exact"/>
        <w:ind w:left="800" w:leftChars="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1、申报条件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（1）基本条件：在宝安区依法设立、</w:t>
      </w:r>
      <w:r>
        <w:rPr>
          <w:rFonts w:hint="eastAsia" w:ascii="仿宋_GB2312" w:hAnsi="仿宋_GB2312" w:eastAsia="仿宋_GB2312" w:cs="仿宋_GB2312"/>
          <w:b/>
          <w:bCs/>
          <w:sz w:val="32"/>
          <w:szCs w:val="32"/>
          <w:lang w:val="en-US" w:eastAsia="zh-CN"/>
        </w:rPr>
        <w:t>依法纳统</w:t>
      </w:r>
      <w:r>
        <w:rPr>
          <w:rFonts w:hint="eastAsia" w:ascii="仿宋_GB2312" w:hAnsi="仿宋_GB2312" w:eastAsia="仿宋_GB2312" w:cs="仿宋_GB2312"/>
          <w:b w:val="0"/>
          <w:bCs w:val="0"/>
          <w:sz w:val="32"/>
          <w:szCs w:val="32"/>
          <w:lang w:val="en-US" w:eastAsia="zh-CN"/>
        </w:rPr>
        <w:t>、依法纳税，从事法律服务的律师事务所。</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（2）申报主体符合上述基本条件，并同时符合以下条件，可提出申请：</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①</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规模以上</w:t>
      </w:r>
      <w:r>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专业服务业企业</w:t>
      </w: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或</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符合支持措施第（一）项条件的专业服务业</w:t>
      </w: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优质企业；</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②申报主体在宝安区租用办公用房并实际经营。</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3）注意事项：</w:t>
      </w:r>
      <w:r>
        <w:rPr>
          <w:rFonts w:hint="eastAsia" w:ascii="仿宋_GB2312" w:hAnsi="仿宋_GB2312" w:eastAsia="仿宋_GB2312" w:cs="仿宋_GB2312"/>
          <w:color w:val="000000"/>
          <w:sz w:val="32"/>
          <w:szCs w:val="32"/>
          <w:lang w:eastAsia="zh-CN"/>
        </w:rPr>
        <w:t>本措施中</w:t>
      </w:r>
      <w:r>
        <w:rPr>
          <w:rFonts w:hint="default" w:ascii="仿宋_GB2312" w:hAnsi="仿宋_GB2312" w:eastAsia="仿宋_GB2312" w:cs="仿宋_GB2312"/>
          <w:color w:val="000000"/>
          <w:sz w:val="32"/>
          <w:szCs w:val="32"/>
          <w:lang w:val="en-US" w:eastAsia="zh-CN"/>
        </w:rPr>
        <w:t>办公用房租金补贴</w:t>
      </w:r>
      <w:r>
        <w:rPr>
          <w:rFonts w:hint="eastAsia" w:ascii="仿宋_GB2312" w:hAnsi="仿宋_GB2312" w:eastAsia="仿宋_GB2312" w:cs="仿宋_GB2312"/>
          <w:color w:val="000000"/>
          <w:sz w:val="32"/>
          <w:szCs w:val="32"/>
          <w:lang w:eastAsia="zh-CN"/>
        </w:rPr>
        <w:t>、</w:t>
      </w:r>
      <w:r>
        <w:rPr>
          <w:rFonts w:hint="default" w:ascii="仿宋_GB2312" w:hAnsi="仿宋_GB2312" w:eastAsia="仿宋_GB2312" w:cs="仿宋_GB2312"/>
          <w:color w:val="000000"/>
          <w:sz w:val="32"/>
          <w:szCs w:val="32"/>
          <w:lang w:val="en-US" w:eastAsia="zh-CN"/>
        </w:rPr>
        <w:t>办公用房</w:t>
      </w:r>
      <w:r>
        <w:rPr>
          <w:rFonts w:hint="eastAsia" w:ascii="仿宋_GB2312" w:hAnsi="仿宋_GB2312" w:eastAsia="仿宋_GB2312" w:cs="仿宋_GB2312"/>
          <w:color w:val="000000"/>
          <w:sz w:val="32"/>
          <w:szCs w:val="32"/>
          <w:lang w:val="en-US" w:eastAsia="zh-CN"/>
        </w:rPr>
        <w:t>购置</w:t>
      </w:r>
      <w:r>
        <w:rPr>
          <w:rFonts w:hint="default" w:ascii="仿宋_GB2312" w:hAnsi="仿宋_GB2312" w:eastAsia="仿宋_GB2312" w:cs="仿宋_GB2312"/>
          <w:color w:val="000000"/>
          <w:sz w:val="32"/>
          <w:szCs w:val="32"/>
          <w:lang w:val="en-US" w:eastAsia="zh-CN"/>
        </w:rPr>
        <w:t>补贴</w:t>
      </w:r>
      <w:r>
        <w:rPr>
          <w:rFonts w:hint="eastAsia" w:ascii="仿宋_GB2312" w:hAnsi="仿宋_GB2312" w:eastAsia="仿宋_GB2312" w:cs="仿宋_GB2312"/>
          <w:color w:val="000000"/>
          <w:sz w:val="32"/>
          <w:szCs w:val="32"/>
          <w:lang w:eastAsia="zh-CN"/>
        </w:rPr>
        <w:t>不得同时享受。</w:t>
      </w:r>
    </w:p>
    <w:p>
      <w:pPr>
        <w:pStyle w:val="4"/>
        <w:pageBreakBefore w:val="0"/>
        <w:kinsoku/>
        <w:wordWrap/>
        <w:overflowPunct/>
        <w:topLinePunct w:val="0"/>
        <w:autoSpaceDE/>
        <w:autoSpaceDN/>
        <w:bidi w:val="0"/>
        <w:snapToGrid/>
        <w:spacing w:line="520" w:lineRule="exact"/>
        <w:ind w:firstLine="643" w:firstLineChars="20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2、补贴标准</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1）</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对规模以上的专业服务业企业，</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按照其在宝安</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区</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租赁</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自用</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办公用房</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（不含</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附属及配套用房</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）的上年度</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租金</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总额的20</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%予以补贴</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2）</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对优质</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企业</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，按照上年度</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租金</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总额的50</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%予以补贴</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每年度</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每企业最高</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不超过</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1</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0</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0万元</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，累计补贴不超过</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3年</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p>
    <w:p>
      <w:pPr>
        <w:pStyle w:val="3"/>
        <w:pageBreakBefore w:val="0"/>
        <w:numPr>
          <w:ilvl w:val="0"/>
          <w:numId w:val="0"/>
        </w:numPr>
        <w:kinsoku/>
        <w:wordWrap/>
        <w:overflowPunct/>
        <w:topLinePunct w:val="0"/>
        <w:autoSpaceDE/>
        <w:autoSpaceDN/>
        <w:bidi w:val="0"/>
        <w:snapToGrid/>
        <w:spacing w:line="520" w:lineRule="exact"/>
        <w:ind w:firstLine="643" w:firstLineChars="200"/>
        <w:textAlignment w:val="auto"/>
        <w:rPr>
          <w:rFonts w:hint="eastAsia" w:ascii="楷体" w:hAnsi="楷体" w:eastAsia="楷体" w:cs="楷体"/>
          <w:lang w:val="en-US" w:eastAsia="zh-CN"/>
        </w:rPr>
      </w:pPr>
      <w:r>
        <w:rPr>
          <w:rFonts w:hint="eastAsia" w:ascii="楷体" w:hAnsi="楷体" w:eastAsia="楷体" w:cs="楷体"/>
          <w:lang w:val="en-US" w:eastAsia="zh-CN"/>
        </w:rPr>
        <w:t>（五）办公用房购置补贴</w:t>
      </w:r>
    </w:p>
    <w:p>
      <w:pPr>
        <w:pStyle w:val="4"/>
        <w:pageBreakBefore w:val="0"/>
        <w:numPr>
          <w:ilvl w:val="0"/>
          <w:numId w:val="0"/>
        </w:numPr>
        <w:kinsoku/>
        <w:wordWrap/>
        <w:overflowPunct/>
        <w:topLinePunct w:val="0"/>
        <w:autoSpaceDE/>
        <w:autoSpaceDN/>
        <w:bidi w:val="0"/>
        <w:snapToGrid/>
        <w:spacing w:line="520" w:lineRule="exact"/>
        <w:ind w:left="800" w:leftChars="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1、申报条件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（1）基本条件：在宝安区依法设立、</w:t>
      </w:r>
      <w:r>
        <w:rPr>
          <w:rFonts w:hint="eastAsia" w:ascii="仿宋_GB2312" w:hAnsi="仿宋_GB2312" w:eastAsia="仿宋_GB2312" w:cs="仿宋_GB2312"/>
          <w:b/>
          <w:bCs/>
          <w:sz w:val="32"/>
          <w:szCs w:val="32"/>
          <w:lang w:val="en-US" w:eastAsia="zh-CN"/>
        </w:rPr>
        <w:t>依法纳统</w:t>
      </w:r>
      <w:r>
        <w:rPr>
          <w:rFonts w:hint="eastAsia" w:ascii="仿宋_GB2312" w:hAnsi="仿宋_GB2312" w:eastAsia="仿宋_GB2312" w:cs="仿宋_GB2312"/>
          <w:b w:val="0"/>
          <w:bCs w:val="0"/>
          <w:sz w:val="32"/>
          <w:szCs w:val="32"/>
          <w:lang w:val="en-US" w:eastAsia="zh-CN"/>
        </w:rPr>
        <w:t>、依法纳税，从事法律服务的律师事务所。</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（2）申报主体符合上述基本条件，并同时符合以下条件，可提出申请：</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①</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符合支持措施第（一）项条件的专业服务业</w:t>
      </w:r>
      <w:r>
        <w:rPr>
          <w:rFonts w:hint="eastAsia" w:ascii="仿宋_GB2312" w:hAnsi="微软雅黑" w:eastAsia="仿宋_GB2312" w:cs="宋体"/>
          <w:color w:val="0D0D0D" w:themeColor="text1" w:themeTint="F2"/>
          <w:kern w:val="0"/>
          <w:sz w:val="32"/>
          <w:szCs w:val="32"/>
          <w:highlight w:val="none"/>
          <w:u w:val="none"/>
          <w:lang w:val="en-US" w:eastAsia="zh-CN" w:bidi="mn-Mong-CN"/>
          <w14:textFill>
            <w14:solidFill>
              <w14:schemeClr w14:val="tx1">
                <w14:lumMod w14:val="95000"/>
                <w14:lumOff w14:val="5000"/>
              </w14:schemeClr>
            </w14:solidFill>
          </w14:textFill>
        </w:rPr>
        <w:t>优质企业</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②申报主体在宝安区购置办公用房并实际经营。</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u w:val="none"/>
          <w:lang w:eastAsia="zh-CN"/>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3）注意事项：</w:t>
      </w:r>
      <w:r>
        <w:rPr>
          <w:rFonts w:hint="eastAsia" w:ascii="仿宋_GB2312" w:hAnsi="仿宋_GB2312" w:eastAsia="仿宋_GB2312" w:cs="仿宋_GB2312"/>
          <w:color w:val="000000"/>
          <w:sz w:val="32"/>
          <w:szCs w:val="32"/>
          <w:lang w:eastAsia="zh-CN"/>
        </w:rPr>
        <w:t>本措施中</w:t>
      </w:r>
      <w:r>
        <w:rPr>
          <w:rFonts w:hint="default" w:ascii="仿宋_GB2312" w:hAnsi="仿宋_GB2312" w:eastAsia="仿宋_GB2312" w:cs="仿宋_GB2312"/>
          <w:color w:val="000000"/>
          <w:sz w:val="32"/>
          <w:szCs w:val="32"/>
          <w:lang w:val="en-US" w:eastAsia="zh-CN"/>
        </w:rPr>
        <w:t>办公用房租金补贴</w:t>
      </w:r>
      <w:r>
        <w:rPr>
          <w:rFonts w:hint="eastAsia" w:ascii="仿宋_GB2312" w:hAnsi="仿宋_GB2312" w:eastAsia="仿宋_GB2312" w:cs="仿宋_GB2312"/>
          <w:color w:val="000000"/>
          <w:sz w:val="32"/>
          <w:szCs w:val="32"/>
          <w:lang w:eastAsia="zh-CN"/>
        </w:rPr>
        <w:t>、</w:t>
      </w:r>
      <w:r>
        <w:rPr>
          <w:rFonts w:hint="default" w:ascii="仿宋_GB2312" w:hAnsi="仿宋_GB2312" w:eastAsia="仿宋_GB2312" w:cs="仿宋_GB2312"/>
          <w:color w:val="000000"/>
          <w:sz w:val="32"/>
          <w:szCs w:val="32"/>
          <w:lang w:val="en-US" w:eastAsia="zh-CN"/>
        </w:rPr>
        <w:t>办公用房</w:t>
      </w:r>
      <w:r>
        <w:rPr>
          <w:rFonts w:hint="eastAsia" w:ascii="仿宋_GB2312" w:hAnsi="仿宋_GB2312" w:eastAsia="仿宋_GB2312" w:cs="仿宋_GB2312"/>
          <w:color w:val="000000"/>
          <w:sz w:val="32"/>
          <w:szCs w:val="32"/>
          <w:lang w:val="en-US" w:eastAsia="zh-CN"/>
        </w:rPr>
        <w:t>购置</w:t>
      </w:r>
      <w:r>
        <w:rPr>
          <w:rFonts w:hint="default" w:ascii="仿宋_GB2312" w:hAnsi="仿宋_GB2312" w:eastAsia="仿宋_GB2312" w:cs="仿宋_GB2312"/>
          <w:color w:val="000000"/>
          <w:sz w:val="32"/>
          <w:szCs w:val="32"/>
          <w:lang w:val="en-US" w:eastAsia="zh-CN"/>
        </w:rPr>
        <w:t>补贴</w:t>
      </w:r>
      <w:r>
        <w:rPr>
          <w:rFonts w:hint="eastAsia" w:ascii="仿宋_GB2312" w:hAnsi="仿宋_GB2312" w:eastAsia="仿宋_GB2312" w:cs="仿宋_GB2312"/>
          <w:color w:val="000000"/>
          <w:sz w:val="32"/>
          <w:szCs w:val="32"/>
          <w:lang w:eastAsia="zh-CN"/>
        </w:rPr>
        <w:t>不得同时享受。</w:t>
      </w:r>
    </w:p>
    <w:p>
      <w:pPr>
        <w:pStyle w:val="4"/>
        <w:pageBreakBefore w:val="0"/>
        <w:kinsoku/>
        <w:wordWrap/>
        <w:overflowPunct/>
        <w:topLinePunct w:val="0"/>
        <w:autoSpaceDE/>
        <w:autoSpaceDN/>
        <w:bidi w:val="0"/>
        <w:snapToGrid/>
        <w:spacing w:line="520" w:lineRule="exact"/>
        <w:ind w:firstLine="643" w:firstLineChars="200"/>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2、补贴标准</w:t>
      </w:r>
    </w:p>
    <w:p>
      <w:pPr>
        <w:pageBreakBefore w:val="0"/>
        <w:widowControl/>
        <w:shd w:val="clear" w:color="auto"/>
        <w:kinsoku/>
        <w:wordWrap/>
        <w:overflowPunct/>
        <w:topLinePunct w:val="0"/>
        <w:autoSpaceDE/>
        <w:autoSpaceDN/>
        <w:bidi w:val="0"/>
        <w:adjustRightInd w:val="0"/>
        <w:snapToGrid/>
        <w:spacing w:line="520" w:lineRule="exact"/>
        <w:ind w:firstLine="640" w:firstLineChars="200"/>
        <w:jc w:val="left"/>
        <w:textAlignment w:val="auto"/>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pP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按照</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实际</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购房价格的</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10</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，予以总额最高</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不超过</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10</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0</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0万元</w:t>
      </w:r>
      <w:r>
        <w:rPr>
          <w:rFonts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的购置补贴</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w:t>
      </w:r>
    </w:p>
    <w:p>
      <w:pPr>
        <w:pStyle w:val="2"/>
        <w:pageBreakBefore w:val="0"/>
        <w:kinsoku/>
        <w:wordWrap/>
        <w:overflowPunct/>
        <w:topLinePunct w:val="0"/>
        <w:autoSpaceDE/>
        <w:autoSpaceDN/>
        <w:bidi w:val="0"/>
        <w:snapToGrid/>
        <w:spacing w:line="52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、申报</w:t>
      </w:r>
      <w:r>
        <w:rPr>
          <w:rFonts w:hint="eastAsia" w:ascii="黑体" w:hAnsi="黑体" w:eastAsia="黑体" w:cs="黑体"/>
          <w:b w:val="0"/>
          <w:bCs/>
          <w:sz w:val="32"/>
          <w:szCs w:val="32"/>
          <w:lang w:eastAsia="zh-CN"/>
        </w:rPr>
        <w:t>流程</w:t>
      </w:r>
    </w:p>
    <w:p>
      <w:pPr>
        <w:keepNext w:val="0"/>
        <w:keepLines w:val="0"/>
        <w:pageBreakBefore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本次</w:t>
      </w:r>
      <w:r>
        <w:rPr>
          <w:rFonts w:hint="eastAsia" w:ascii="仿宋_GB2312" w:hAnsi="仿宋_GB2312" w:eastAsia="仿宋_GB2312" w:cs="仿宋_GB2312"/>
          <w:sz w:val="32"/>
          <w:szCs w:val="32"/>
        </w:rPr>
        <w:t>申报采取网上申报、窗口提交纸质材料的方式</w:t>
      </w:r>
      <w:r>
        <w:rPr>
          <w:rFonts w:hint="eastAsia" w:ascii="仿宋_GB2312" w:hAnsi="仿宋_GB2312" w:eastAsia="仿宋_GB2312" w:cs="仿宋_GB2312"/>
          <w:sz w:val="32"/>
          <w:szCs w:val="32"/>
          <w:lang w:eastAsia="zh-CN"/>
        </w:rPr>
        <w:t>。</w:t>
      </w:r>
    </w:p>
    <w:p>
      <w:pPr>
        <w:pStyle w:val="3"/>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rPr>
      </w:pPr>
      <w:r>
        <w:rPr>
          <w:rFonts w:hint="eastAsia" w:ascii="楷体" w:hAnsi="楷体" w:eastAsia="楷体" w:cs="楷体"/>
          <w:lang w:eastAsia="zh-CN"/>
        </w:rPr>
        <w:t>（一）</w:t>
      </w:r>
      <w:r>
        <w:rPr>
          <w:rFonts w:hint="eastAsia" w:ascii="楷体" w:hAnsi="楷体" w:eastAsia="楷体" w:cs="楷体"/>
        </w:rPr>
        <w:t xml:space="preserve">网上申报 </w:t>
      </w:r>
    </w:p>
    <w:p>
      <w:pPr>
        <w:keepNext w:val="0"/>
        <w:keepLines w:val="0"/>
        <w:pageBreakBefore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受理时间:</w:t>
      </w:r>
      <w:r>
        <w:rPr>
          <w:rFonts w:hint="eastAsia" w:ascii="仿宋_GB2312" w:hAnsi="仿宋_GB2312" w:eastAsia="仿宋_GB2312" w:cs="仿宋_GB2312"/>
          <w:b/>
          <w:bCs/>
          <w:sz w:val="32"/>
          <w:szCs w:val="32"/>
        </w:rPr>
        <w:t>2020年</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lang w:val="en-US" w:eastAsia="zh-CN"/>
        </w:rPr>
        <w:t>20</w:t>
      </w:r>
      <w:r>
        <w:rPr>
          <w:rFonts w:hint="eastAsia" w:ascii="仿宋_GB2312" w:hAnsi="仿宋_GB2312" w:eastAsia="仿宋_GB2312" w:cs="仿宋_GB2312"/>
          <w:b/>
          <w:bCs/>
          <w:sz w:val="32"/>
          <w:szCs w:val="32"/>
        </w:rPr>
        <w:t>日-</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lang w:val="en-US" w:eastAsia="zh-CN"/>
        </w:rPr>
        <w:t>30</w:t>
      </w:r>
      <w:r>
        <w:rPr>
          <w:rFonts w:hint="eastAsia" w:ascii="仿宋_GB2312" w:hAnsi="仿宋_GB2312" w:eastAsia="仿宋_GB2312" w:cs="仿宋_GB2312"/>
          <w:b/>
          <w:bCs/>
          <w:sz w:val="32"/>
          <w:szCs w:val="32"/>
        </w:rPr>
        <w:t>日</w:t>
      </w:r>
      <w:r>
        <w:rPr>
          <w:rFonts w:hint="eastAsia" w:ascii="仿宋_GB2312" w:hAnsi="仿宋_GB2312" w:eastAsia="仿宋_GB2312" w:cs="仿宋_GB2312"/>
          <w:b/>
          <w:bCs/>
          <w:sz w:val="32"/>
          <w:szCs w:val="32"/>
          <w:lang w:eastAsia="zh-CN"/>
        </w:rPr>
        <w:t>（符合申报条件的需及时在申报时限内进行申报，逾期未申报将不再受理）。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申报主体</w:t>
      </w:r>
      <w:r>
        <w:rPr>
          <w:rFonts w:hint="eastAsia" w:ascii="仿宋_GB2312" w:hAnsi="仿宋_GB2312" w:eastAsia="仿宋_GB2312" w:cs="仿宋_GB2312"/>
          <w:sz w:val="32"/>
          <w:szCs w:val="32"/>
        </w:rPr>
        <w:t>登录“广东政务服务网”—“深圳市”—“宝安区”—“宝安区</w:t>
      </w:r>
      <w:r>
        <w:rPr>
          <w:rFonts w:hint="eastAsia" w:ascii="仿宋_GB2312" w:hAnsi="仿宋_GB2312" w:eastAsia="仿宋_GB2312" w:cs="仿宋_GB2312"/>
          <w:sz w:val="32"/>
          <w:szCs w:val="32"/>
          <w:lang w:eastAsia="zh-CN"/>
        </w:rPr>
        <w:t>司法局</w:t>
      </w:r>
      <w:r>
        <w:rPr>
          <w:rFonts w:hint="eastAsia" w:ascii="仿宋_GB2312" w:hAnsi="仿宋_GB2312" w:eastAsia="仿宋_GB2312" w:cs="仿宋_GB2312"/>
          <w:sz w:val="32"/>
          <w:szCs w:val="32"/>
        </w:rPr>
        <w:t>”(公共服务事项)模块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根据要申报的项目类别进行申报。</w:t>
      </w:r>
      <w:r>
        <w:rPr>
          <w:rFonts w:hint="eastAsia" w:ascii="仿宋_GB2312" w:hAnsi="仿宋_GB2312" w:eastAsia="仿宋_GB2312" w:cs="仿宋_GB2312"/>
          <w:sz w:val="32"/>
          <w:szCs w:val="32"/>
          <w:lang w:eastAsia="zh-CN"/>
        </w:rPr>
        <w:t>律师事务所</w:t>
      </w:r>
      <w:r>
        <w:rPr>
          <w:rFonts w:hint="eastAsia" w:ascii="仿宋_GB2312" w:hAnsi="仿宋_GB2312" w:eastAsia="仿宋_GB2312" w:cs="仿宋_GB2312"/>
          <w:sz w:val="32"/>
          <w:szCs w:val="32"/>
        </w:rPr>
        <w:t>在申报系统中注册</w:t>
      </w:r>
      <w:r>
        <w:rPr>
          <w:rFonts w:hint="eastAsia" w:ascii="仿宋_GB2312" w:hAnsi="仿宋_GB2312" w:eastAsia="仿宋_GB2312" w:cs="仿宋_GB2312"/>
          <w:sz w:val="32"/>
          <w:szCs w:val="32"/>
          <w:lang w:eastAsia="zh-CN"/>
        </w:rPr>
        <w:t>法人</w:t>
      </w:r>
      <w:r>
        <w:rPr>
          <w:rFonts w:hint="eastAsia" w:ascii="仿宋_GB2312" w:hAnsi="仿宋_GB2312" w:eastAsia="仿宋_GB2312" w:cs="仿宋_GB2312"/>
          <w:sz w:val="32"/>
          <w:szCs w:val="32"/>
        </w:rPr>
        <w:t>账号并填写相关信息。</w:t>
      </w:r>
      <w:r>
        <w:rPr>
          <w:rFonts w:hint="eastAsia" w:ascii="仿宋_GB2312" w:hAnsi="仿宋_GB2312" w:eastAsia="仿宋_GB2312" w:cs="仿宋_GB2312"/>
          <w:sz w:val="32"/>
          <w:szCs w:val="32"/>
          <w:lang w:eastAsia="zh-CN"/>
        </w:rPr>
        <w:t xml:space="preserve">（网址：宝安区司法局政务服务-广东政务服务网  </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"http://www.gdzwfw.gov.cn/portal/branch-hall?orgCode=007543737）。"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http://www.gdzwfw.gov.cn/portal/branch-hall?orgCode=007543737）。</w:t>
      </w:r>
      <w:r>
        <w:rPr>
          <w:rFonts w:hint="eastAsia" w:ascii="仿宋_GB2312" w:hAnsi="仿宋_GB2312" w:eastAsia="仿宋_GB2312" w:cs="仿宋_GB2312"/>
          <w:sz w:val="32"/>
          <w:szCs w:val="32"/>
          <w:lang w:eastAsia="zh-CN"/>
        </w:rPr>
        <w:fldChar w:fldCharType="end"/>
      </w:r>
    </w:p>
    <w:p>
      <w:pPr>
        <w:pStyle w:val="3"/>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rPr>
      </w:pPr>
      <w:r>
        <w:rPr>
          <w:rFonts w:hint="eastAsia" w:ascii="楷体" w:hAnsi="楷体" w:eastAsia="楷体" w:cs="楷体"/>
          <w:lang w:eastAsia="zh-CN"/>
        </w:rPr>
        <w:t>（二）</w:t>
      </w:r>
      <w:r>
        <w:rPr>
          <w:rFonts w:hint="eastAsia" w:ascii="楷体" w:hAnsi="楷体" w:eastAsia="楷体" w:cs="楷体"/>
        </w:rPr>
        <w:t>纸质材料受理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网上申报成功后,</w:t>
      </w:r>
      <w:r>
        <w:rPr>
          <w:rFonts w:hint="eastAsia" w:ascii="仿宋_GB2312" w:hAnsi="仿宋_GB2312" w:eastAsia="仿宋_GB2312" w:cs="仿宋_GB2312"/>
          <w:sz w:val="32"/>
          <w:szCs w:val="32"/>
          <w:lang w:eastAsia="zh-CN"/>
        </w:rPr>
        <w:t>申报主体</w:t>
      </w:r>
      <w:r>
        <w:rPr>
          <w:rFonts w:hint="eastAsia" w:ascii="仿宋_GB2312" w:hAnsi="仿宋_GB2312" w:eastAsia="仿宋_GB2312" w:cs="仿宋_GB2312"/>
          <w:sz w:val="32"/>
          <w:szCs w:val="32"/>
        </w:rPr>
        <w:t>须带齐相关纸质材料</w:t>
      </w:r>
      <w:bookmarkStart w:id="0" w:name="_GoBack"/>
      <w:r>
        <w:rPr>
          <w:rFonts w:hint="eastAsia" w:ascii="仿宋_GB2312" w:hAnsi="仿宋_GB2312" w:eastAsia="仿宋_GB2312" w:cs="仿宋_GB2312"/>
          <w:b/>
          <w:bCs/>
          <w:sz w:val="32"/>
          <w:szCs w:val="32"/>
        </w:rPr>
        <w:t>一式两份</w:t>
      </w:r>
      <w:bookmarkEnd w:id="0"/>
      <w:r>
        <w:rPr>
          <w:rFonts w:hint="eastAsia" w:ascii="仿宋_GB2312" w:hAnsi="仿宋_GB2312" w:eastAsia="仿宋_GB2312" w:cs="仿宋_GB2312"/>
          <w:sz w:val="32"/>
          <w:szCs w:val="32"/>
        </w:rPr>
        <w:t>,在纸质材料受理期间到宝安区</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各街道行政服务大厅提交材料,相关证件交复印件验原件。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受理时间:</w:t>
      </w:r>
      <w:r>
        <w:rPr>
          <w:rFonts w:hint="eastAsia" w:ascii="仿宋_GB2312" w:hAnsi="仿宋_GB2312" w:eastAsia="仿宋_GB2312" w:cs="仿宋_GB2312"/>
          <w:b/>
          <w:bCs/>
          <w:sz w:val="32"/>
          <w:szCs w:val="32"/>
        </w:rPr>
        <w:t>2020年</w:t>
      </w: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日-</w:t>
      </w: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日</w:t>
      </w:r>
      <w:r>
        <w:rPr>
          <w:rFonts w:hint="eastAsia" w:ascii="仿宋_GB2312" w:hAnsi="仿宋_GB2312" w:eastAsia="仿宋_GB2312" w:cs="仿宋_GB2312"/>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提交地点:宝安区</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各街道行政服务大厅</w:t>
      </w:r>
      <w:r>
        <w:rPr>
          <w:rFonts w:hint="eastAsia" w:ascii="仿宋_GB2312" w:hAnsi="仿宋_GB2312" w:eastAsia="仿宋_GB2312" w:cs="仿宋_GB2312"/>
          <w:sz w:val="32"/>
          <w:szCs w:val="32"/>
          <w:lang w:eastAsia="zh-CN"/>
        </w:rPr>
        <w:t>具体地址为：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420" w:firstLineChars="200"/>
        <w:textAlignment w:val="auto"/>
        <w:rPr>
          <w:rFonts w:hint="eastAsia" w:ascii="仿宋_GB2312" w:hAnsi="仿宋_GB2312" w:eastAsia="仿宋_GB2312" w:cs="仿宋_GB2312"/>
          <w:sz w:val="32"/>
          <w:szCs w:val="32"/>
        </w:rPr>
      </w:pPr>
      <w:r>
        <w:rPr>
          <w:rFonts w:hint="eastAsia"/>
          <w:lang w:val="en-US" w:eastAsia="zh-CN"/>
        </w:rPr>
        <w:t xml:space="preserve"> </w:t>
      </w:r>
      <w:r>
        <w:rPr>
          <w:rFonts w:hint="eastAsia" w:ascii="仿宋_GB2312" w:hAnsi="仿宋_GB2312" w:eastAsia="仿宋_GB2312" w:cs="仿宋_GB2312"/>
          <w:sz w:val="32"/>
          <w:szCs w:val="32"/>
          <w:lang w:val="en-US" w:eastAsia="zh-CN"/>
        </w:rPr>
        <w:t xml:space="preserve"> （1）</w:t>
      </w:r>
      <w:r>
        <w:rPr>
          <w:rFonts w:hint="eastAsia" w:ascii="仿宋_GB2312" w:hAnsi="仿宋_GB2312" w:eastAsia="仿宋_GB2312" w:cs="仿宋_GB2312"/>
          <w:sz w:val="32"/>
          <w:szCs w:val="32"/>
        </w:rPr>
        <w:t>区政务服务大厅</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办理地点：宝安中心区宝安大道与罗田路交汇处的宝安区体育中心综合训练馆一楼（区公安分局出入境办证大厅正门对面）</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深圳市宝安区新安街道政务服务中心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办理地点：深圳市宝安区宝城29区宝民一路新安街道办事处1楼</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深圳市宝安区西乡街道政务服务中心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办理地点：深圳市宝安区西乡街道宝民二路110号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深圳市宝安区航城街道政务服务中心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办理地点：深圳市宝安区航城街道凯成二路</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深圳市宝安区福永街道政务服务中心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办理地点：深圳市宝安区福永街道福永大道303号万福大厦一楼</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深圳市宝安区福海街道政务服务中心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办理地点：深圳市宝安区福海街道和平社区永和路北8号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深圳市宝安区沙井街道政务服务中心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办理地点：深圳市宝安区沙井街道银图路一号（旧国税）</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深圳市宝安区新桥街道政务服务中心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办理地点：深圳市宝安区新桥街道上寮企安路3号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深圳市宝安区松岗街道政务服务中心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办理地点：深圳市宝安区松岗街道金开路1号东方二六大厦二楼</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深圳市宝安区燕罗街道政务服务中心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办理地点：深圳市宝安区燕罗街道燕罗公路190号行政服务大厅</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深圳市宝安区石岩街道政务服务中心</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rPr>
          <w:rFonts w:hint="eastAsia"/>
          <w:lang w:eastAsia="zh-CN"/>
        </w:rPr>
      </w:pPr>
      <w:r>
        <w:rPr>
          <w:rFonts w:hint="eastAsia" w:ascii="仿宋_GB2312" w:hAnsi="仿宋_GB2312" w:eastAsia="仿宋_GB2312" w:cs="仿宋_GB2312"/>
          <w:sz w:val="32"/>
          <w:szCs w:val="32"/>
        </w:rPr>
        <w:t>办理地点：深圳市宝安区石岩街道育才路文化艺术中心办公大楼一楼委托宝安区政务服务局受理项目申报纸质版材料。</w:t>
      </w:r>
    </w:p>
    <w:p>
      <w:pPr>
        <w:pStyle w:val="2"/>
        <w:pageBreakBefore w:val="0"/>
        <w:kinsoku/>
        <w:wordWrap/>
        <w:overflowPunct/>
        <w:topLinePunct w:val="0"/>
        <w:autoSpaceDE/>
        <w:autoSpaceDN/>
        <w:bidi w:val="0"/>
        <w:snapToGrid/>
        <w:spacing w:line="52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三、申报材料要求</w:t>
      </w:r>
    </w:p>
    <w:p>
      <w:pPr>
        <w:pageBreakBefore w:val="0"/>
        <w:shd w:val="clear"/>
        <w:kinsoku/>
        <w:wordWrap/>
        <w:overflowPunct/>
        <w:topLinePunct w:val="0"/>
        <w:bidi w:val="0"/>
        <w:adjustRightInd w:val="0"/>
        <w:snapToGrid/>
        <w:spacing w:line="520" w:lineRule="exact"/>
        <w:ind w:firstLine="640" w:firstLineChars="200"/>
        <w:textAlignment w:val="auto"/>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（一）申报单位应同时提供基本申请材料和专项申请材料（详见附件），材料要求</w:t>
      </w:r>
      <w:r>
        <w:rPr>
          <w:rFonts w:hint="eastAsia" w:ascii="仿宋_GB2312" w:hAnsi="微软雅黑" w:eastAsia="仿宋_GB2312" w:cs="宋体"/>
          <w:b/>
          <w:bCs/>
          <w:color w:val="0D0D0D" w:themeColor="text1" w:themeTint="F2"/>
          <w:kern w:val="0"/>
          <w:sz w:val="32"/>
          <w:szCs w:val="32"/>
          <w:highlight w:val="none"/>
          <w:u w:val="none"/>
          <w:lang w:eastAsia="zh-CN"/>
          <w14:textFill>
            <w14:solidFill>
              <w14:schemeClr w14:val="tx1">
                <w14:lumMod w14:val="95000"/>
                <w14:lumOff w14:val="5000"/>
              </w14:schemeClr>
            </w14:solidFill>
          </w14:textFill>
        </w:rPr>
        <w:t>一式两份</w:t>
      </w: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，纸质件按照申报顺序装订，并加盖律师事务所公章（按规定顺序排列并设置封面、目录，用A4纸制作装订成册、全册加盖骑缝章）。</w:t>
      </w:r>
    </w:p>
    <w:p>
      <w:pPr>
        <w:keepNext w:val="0"/>
        <w:keepLines w:val="0"/>
        <w:pageBreakBefore w:val="0"/>
        <w:numPr>
          <w:ilvl w:val="0"/>
          <w:numId w:val="0"/>
        </w:numPr>
        <w:kinsoku/>
        <w:wordWrap/>
        <w:overflowPunct/>
        <w:topLinePunct w:val="0"/>
        <w:autoSpaceDE/>
        <w:autoSpaceDN/>
        <w:bidi w:val="0"/>
        <w:adjustRightInd/>
        <w:snapToGrid/>
        <w:spacing w:beforeAutospacing="0"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（二）申报单位应按要求提供真实、完整的申请材料，每一项材料应加盖公章，各类证照、证明文件复印件需验原件的需提交原件进行核对。</w:t>
      </w:r>
    </w:p>
    <w:p>
      <w:pPr>
        <w:pStyle w:val="2"/>
        <w:pageBreakBefore w:val="0"/>
        <w:kinsoku/>
        <w:wordWrap/>
        <w:overflowPunct/>
        <w:topLinePunct w:val="0"/>
        <w:autoSpaceDE/>
        <w:autoSpaceDN/>
        <w:bidi w:val="0"/>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b w:val="0"/>
          <w:bCs/>
          <w:sz w:val="32"/>
          <w:szCs w:val="32"/>
          <w:lang w:eastAsia="zh-CN"/>
        </w:rPr>
        <w:t>四、其他要求</w:t>
      </w:r>
    </w:p>
    <w:p>
      <w:pPr>
        <w:pageBreakBefore w:val="0"/>
        <w:shd w:val="clear"/>
        <w:kinsoku/>
        <w:wordWrap/>
        <w:overflowPunct/>
        <w:topLinePunct w:val="0"/>
        <w:bidi w:val="0"/>
        <w:adjustRightInd w:val="0"/>
        <w:snapToGrid/>
        <w:spacing w:line="520" w:lineRule="exact"/>
        <w:ind w:firstLine="640" w:firstLineChars="200"/>
        <w:textAlignment w:val="auto"/>
        <w:rPr>
          <w:rFonts w:ascii="仿宋_GB2312" w:hAnsi="仿宋_GB2312" w:eastAsia="仿宋_GB2312" w:cs="仿宋_GB2312"/>
          <w:b/>
          <w:bCs/>
          <w:color w:val="0D0D0D" w:themeColor="text1" w:themeTint="F2"/>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（一）</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根据《宝安区科技与产业发展专项资金管理办法》和《宝安区关于促进专业服务业发展的若干措施》规定，本</w:t>
      </w: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措施</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中规定的</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对同一主体的各类奖励、补贴总额</w:t>
      </w:r>
      <w:r>
        <w:rPr>
          <w:rFonts w:hint="eastAsia" w:ascii="仿宋_GB2312" w:hAnsi="仿宋_GB2312" w:eastAsia="仿宋_GB2312" w:cs="仿宋_GB2312"/>
          <w:b/>
          <w:bCs/>
          <w:color w:val="0D0D0D" w:themeColor="text1" w:themeTint="F2"/>
          <w:sz w:val="32"/>
          <w:szCs w:val="32"/>
          <w:highlight w:val="none"/>
          <w:u w:val="none"/>
          <w14:textFill>
            <w14:solidFill>
              <w14:schemeClr w14:val="tx1">
                <w14:lumMod w14:val="95000"/>
                <w14:lumOff w14:val="5000"/>
              </w14:schemeClr>
            </w14:solidFill>
          </w14:textFill>
        </w:rPr>
        <w:t>不超过其上年度纳税总额。</w:t>
      </w:r>
    </w:p>
    <w:p>
      <w:pPr>
        <w:pageBreakBefore w:val="0"/>
        <w:widowControl/>
        <w:shd w:val="clear" w:color="auto"/>
        <w:kinsoku/>
        <w:wordWrap/>
        <w:overflowPunct/>
        <w:topLinePunct w:val="0"/>
        <w:bidi w:val="0"/>
        <w:adjustRightInd w:val="0"/>
        <w:snapToGrid/>
        <w:spacing w:line="520" w:lineRule="exact"/>
        <w:ind w:firstLine="640" w:firstLineChars="200"/>
        <w:jc w:val="left"/>
        <w:textAlignment w:val="auto"/>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（二）</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本</w:t>
      </w: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措施</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所称</w:t>
      </w:r>
      <w:r>
        <w:rPr>
          <w:rFonts w:hint="eastAsia" w:ascii="仿宋_GB2312" w:hAnsi="微软雅黑" w:eastAsia="仿宋_GB2312" w:cs="宋体"/>
          <w:b/>
          <w:color w:val="0D0D0D" w:themeColor="text1" w:themeTint="F2"/>
          <w:kern w:val="0"/>
          <w:sz w:val="32"/>
          <w:szCs w:val="32"/>
          <w:highlight w:val="none"/>
          <w:u w:val="none"/>
          <w14:textFill>
            <w14:solidFill>
              <w14:schemeClr w14:val="tx1">
                <w14:lumMod w14:val="95000"/>
                <w14:lumOff w14:val="5000"/>
              </w14:schemeClr>
            </w14:solidFill>
          </w14:textFill>
        </w:rPr>
        <w:t>纳税</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是指申报企业在宝安区税务自缴税款总额+出口货物增值税“免抵”税额调库。</w:t>
      </w:r>
      <w:r>
        <w:rPr>
          <w:rFonts w:hint="eastAsia" w:ascii="仿宋_GB2312" w:hAnsi="微软雅黑" w:eastAsia="仿宋_GB2312" w:cs="宋体"/>
          <w:b/>
          <w:color w:val="0D0D0D" w:themeColor="text1" w:themeTint="F2"/>
          <w:kern w:val="0"/>
          <w:sz w:val="32"/>
          <w:szCs w:val="32"/>
          <w:highlight w:val="none"/>
          <w:u w:val="none"/>
          <w14:textFill>
            <w14:solidFill>
              <w14:schemeClr w14:val="tx1">
                <w14:lumMod w14:val="95000"/>
                <w14:lumOff w14:val="5000"/>
              </w14:schemeClr>
            </w14:solidFill>
          </w14:textFill>
        </w:rPr>
        <w:t>宝安区级财政贡献</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是指上述纳税计入宝安区分成部分。</w:t>
      </w:r>
    </w:p>
    <w:p>
      <w:pPr>
        <w:pageBreakBefore w:val="0"/>
        <w:widowControl/>
        <w:shd w:val="clear" w:color="auto"/>
        <w:kinsoku/>
        <w:wordWrap/>
        <w:overflowPunct/>
        <w:topLinePunct w:val="0"/>
        <w:bidi w:val="0"/>
        <w:adjustRightInd w:val="0"/>
        <w:snapToGrid/>
        <w:spacing w:line="520" w:lineRule="exact"/>
        <w:ind w:firstLine="640" w:firstLineChars="200"/>
        <w:jc w:val="left"/>
        <w:textAlignment w:val="auto"/>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（三）</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本</w:t>
      </w: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措施</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所说的</w:t>
      </w:r>
      <w:r>
        <w:rPr>
          <w:rFonts w:hint="eastAsia" w:ascii="仿宋_GB2312" w:hAnsi="微软雅黑" w:eastAsia="仿宋_GB2312" w:cs="宋体"/>
          <w:b/>
          <w:bCs/>
          <w:color w:val="0D0D0D" w:themeColor="text1" w:themeTint="F2"/>
          <w:kern w:val="0"/>
          <w:sz w:val="32"/>
          <w:szCs w:val="32"/>
          <w:highlight w:val="none"/>
          <w:u w:val="none"/>
          <w14:textFill>
            <w14:solidFill>
              <w14:schemeClr w14:val="tx1">
                <w14:lumMod w14:val="95000"/>
                <w14:lumOff w14:val="5000"/>
              </w14:schemeClr>
            </w14:solidFill>
          </w14:textFill>
        </w:rPr>
        <w:t>上年度</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指申报公告发布时的上一自然年度。</w:t>
      </w:r>
    </w:p>
    <w:p>
      <w:pPr>
        <w:pageBreakBefore w:val="0"/>
        <w:shd w:val="clear"/>
        <w:kinsoku/>
        <w:wordWrap/>
        <w:overflowPunct/>
        <w:topLinePunct w:val="0"/>
        <w:bidi w:val="0"/>
        <w:snapToGrid/>
        <w:spacing w:line="520" w:lineRule="exact"/>
        <w:ind w:firstLine="640" w:firstLineChars="200"/>
        <w:textAlignment w:val="auto"/>
        <w:rPr>
          <w:rFonts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（四）</w:t>
      </w:r>
      <w:r>
        <w:rPr>
          <w:rFonts w:hint="eastAsia" w:ascii="仿宋_GB2312" w:hAnsi="仿宋_GB2312" w:eastAsia="仿宋_GB2312" w:cs="仿宋_GB2312"/>
          <w:color w:val="0D0D0D" w:themeColor="text1" w:themeTint="F2"/>
          <w:sz w:val="32"/>
          <w:szCs w:val="32"/>
          <w:highlight w:val="none"/>
          <w:u w:val="none"/>
          <w14:textFill>
            <w14:solidFill>
              <w14:schemeClr w14:val="tx1">
                <w14:lumMod w14:val="95000"/>
                <w14:lumOff w14:val="5000"/>
              </w14:schemeClr>
            </w14:solidFill>
          </w14:textFill>
        </w:rPr>
        <w:t>同一主体因同一事由已享受宝安区其他同类扶持政策的，不得重复享受本措施规定的资金扶持政策。本措施如与上级文件相冲突，按上级文件执行。</w:t>
      </w:r>
    </w:p>
    <w:p>
      <w:pPr>
        <w:pageBreakBefore w:val="0"/>
        <w:shd w:val="clear"/>
        <w:kinsoku/>
        <w:wordWrap/>
        <w:overflowPunct/>
        <w:topLinePunct w:val="0"/>
        <w:bidi w:val="0"/>
        <w:snapToGrid/>
        <w:spacing w:line="52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（五）</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同一主体可同时享受本</w:t>
      </w: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措施</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各项扶持措施，但</w:t>
      </w:r>
      <w:r>
        <w:rPr>
          <w:rFonts w:hint="eastAsia" w:ascii="仿宋_GB2312" w:hAnsi="仿宋_GB2312" w:eastAsia="仿宋_GB2312" w:cs="仿宋_GB2312"/>
          <w:color w:val="000000"/>
          <w:sz w:val="32"/>
          <w:szCs w:val="32"/>
          <w:lang w:eastAsia="zh-CN"/>
        </w:rPr>
        <w:t>本措施中</w:t>
      </w:r>
      <w:r>
        <w:rPr>
          <w:rFonts w:hint="default" w:ascii="仿宋_GB2312" w:hAnsi="仿宋_GB2312" w:eastAsia="仿宋_GB2312" w:cs="仿宋_GB2312"/>
          <w:b/>
          <w:bCs/>
          <w:color w:val="000000"/>
          <w:sz w:val="32"/>
          <w:szCs w:val="32"/>
          <w:lang w:val="en-US" w:eastAsia="zh-CN"/>
        </w:rPr>
        <w:t>办公用房租金补贴</w:t>
      </w:r>
      <w:r>
        <w:rPr>
          <w:rFonts w:hint="eastAsia" w:ascii="仿宋_GB2312" w:hAnsi="仿宋_GB2312" w:eastAsia="仿宋_GB2312" w:cs="仿宋_GB2312"/>
          <w:b/>
          <w:bCs/>
          <w:color w:val="000000"/>
          <w:sz w:val="32"/>
          <w:szCs w:val="32"/>
          <w:lang w:eastAsia="zh-CN"/>
        </w:rPr>
        <w:t>、</w:t>
      </w:r>
      <w:r>
        <w:rPr>
          <w:rFonts w:hint="default" w:ascii="仿宋_GB2312" w:hAnsi="仿宋_GB2312" w:eastAsia="仿宋_GB2312" w:cs="仿宋_GB2312"/>
          <w:b/>
          <w:bCs/>
          <w:color w:val="000000"/>
          <w:sz w:val="32"/>
          <w:szCs w:val="32"/>
          <w:lang w:val="en-US" w:eastAsia="zh-CN"/>
        </w:rPr>
        <w:t>办公用房</w:t>
      </w:r>
      <w:r>
        <w:rPr>
          <w:rFonts w:hint="eastAsia" w:ascii="仿宋_GB2312" w:hAnsi="仿宋_GB2312" w:eastAsia="仿宋_GB2312" w:cs="仿宋_GB2312"/>
          <w:b/>
          <w:bCs/>
          <w:color w:val="000000"/>
          <w:sz w:val="32"/>
          <w:szCs w:val="32"/>
          <w:lang w:val="en-US" w:eastAsia="zh-CN"/>
        </w:rPr>
        <w:t>购置</w:t>
      </w:r>
      <w:r>
        <w:rPr>
          <w:rFonts w:hint="default" w:ascii="仿宋_GB2312" w:hAnsi="仿宋_GB2312" w:eastAsia="仿宋_GB2312" w:cs="仿宋_GB2312"/>
          <w:b/>
          <w:bCs/>
          <w:color w:val="000000"/>
          <w:sz w:val="32"/>
          <w:szCs w:val="32"/>
          <w:lang w:val="en-US" w:eastAsia="zh-CN"/>
        </w:rPr>
        <w:t>补贴</w:t>
      </w:r>
      <w:r>
        <w:rPr>
          <w:rFonts w:hint="eastAsia" w:ascii="仿宋_GB2312" w:hAnsi="仿宋_GB2312" w:eastAsia="仿宋_GB2312" w:cs="仿宋_GB2312"/>
          <w:b/>
          <w:bCs/>
          <w:color w:val="000000"/>
          <w:sz w:val="32"/>
          <w:szCs w:val="32"/>
          <w:lang w:eastAsia="zh-CN"/>
        </w:rPr>
        <w:t>不得同时享受</w:t>
      </w:r>
      <w:r>
        <w:rPr>
          <w:rFonts w:hint="eastAsia" w:ascii="仿宋_GB2312" w:hAnsi="仿宋_GB2312" w:eastAsia="仿宋_GB2312" w:cs="仿宋_GB2312"/>
          <w:color w:val="000000"/>
          <w:sz w:val="32"/>
          <w:szCs w:val="32"/>
          <w:lang w:eastAsia="zh-CN"/>
        </w:rPr>
        <w:t>。</w:t>
      </w:r>
    </w:p>
    <w:p>
      <w:pPr>
        <w:pageBreakBefore w:val="0"/>
        <w:shd w:val="clear"/>
        <w:kinsoku/>
        <w:wordWrap/>
        <w:overflowPunct/>
        <w:topLinePunct w:val="0"/>
        <w:bidi w:val="0"/>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微软雅黑" w:eastAsia="仿宋_GB2312" w:cs="宋体"/>
          <w:color w:val="0D0D0D" w:themeColor="text1" w:themeTint="F2"/>
          <w:kern w:val="0"/>
          <w:sz w:val="32"/>
          <w:szCs w:val="32"/>
          <w:highlight w:val="none"/>
          <w:u w:val="none"/>
          <w:lang w:eastAsia="zh-CN"/>
          <w14:textFill>
            <w14:solidFill>
              <w14:schemeClr w14:val="tx1">
                <w14:lumMod w14:val="95000"/>
                <w14:lumOff w14:val="5000"/>
              </w14:schemeClr>
            </w14:solidFill>
          </w14:textFill>
        </w:rPr>
        <w:t>（六）</w:t>
      </w:r>
      <w:r>
        <w:rPr>
          <w:rFonts w:hint="eastAsia" w:ascii="仿宋_GB2312" w:hAnsi="微软雅黑" w:eastAsia="仿宋_GB2312" w:cs="宋体"/>
          <w:color w:val="0D0D0D" w:themeColor="text1" w:themeTint="F2"/>
          <w:kern w:val="0"/>
          <w:sz w:val="32"/>
          <w:szCs w:val="32"/>
          <w:highlight w:val="none"/>
          <w:u w:val="none"/>
          <w14:textFill>
            <w14:solidFill>
              <w14:schemeClr w14:val="tx1">
                <w14:lumMod w14:val="95000"/>
                <w14:lumOff w14:val="5000"/>
              </w14:schemeClr>
            </w14:solidFill>
          </w14:textFill>
        </w:rPr>
        <w:t>申报单位应如实申报、提交材料，并自觉接受区行业主管部门、财政、审计等部门的监督检查，配合有关部门监督检查工作。</w:t>
      </w:r>
    </w:p>
    <w:p>
      <w:pPr>
        <w:keepNext w:val="0"/>
        <w:keepLines w:val="0"/>
        <w:pageBreakBefore w:val="0"/>
        <w:kinsoku/>
        <w:wordWrap/>
        <w:overflowPunct/>
        <w:topLinePunct w:val="0"/>
        <w:autoSpaceDE/>
        <w:autoSpaceDN/>
        <w:bidi w:val="0"/>
        <w:adjustRightInd/>
        <w:snapToGrid/>
        <w:spacing w:beforeAutospacing="0" w:line="520" w:lineRule="exact"/>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line="520" w:lineRule="exact"/>
        <w:ind w:firstLine="5440" w:firstLineChars="1700"/>
        <w:textAlignment w:val="auto"/>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11EE4F"/>
    <w:multiLevelType w:val="singleLevel"/>
    <w:tmpl w:val="3E11EE4F"/>
    <w:lvl w:ilvl="0" w:tentative="0">
      <w:start w:val="1"/>
      <w:numFmt w:val="decimal"/>
      <w:suff w:val="nothing"/>
      <w:lvlText w:val="%1、"/>
      <w:lvlJc w:val="left"/>
      <w:pPr>
        <w:ind w:left="8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E791A"/>
    <w:rsid w:val="01E91D11"/>
    <w:rsid w:val="02377712"/>
    <w:rsid w:val="02C43C36"/>
    <w:rsid w:val="02D66D32"/>
    <w:rsid w:val="03584890"/>
    <w:rsid w:val="037B4086"/>
    <w:rsid w:val="03D31ED5"/>
    <w:rsid w:val="03EE0CB1"/>
    <w:rsid w:val="043D48C5"/>
    <w:rsid w:val="04D818FE"/>
    <w:rsid w:val="050F60F5"/>
    <w:rsid w:val="05196290"/>
    <w:rsid w:val="060A1F27"/>
    <w:rsid w:val="061240D9"/>
    <w:rsid w:val="0633014D"/>
    <w:rsid w:val="071C08F9"/>
    <w:rsid w:val="073B5A97"/>
    <w:rsid w:val="07787DE6"/>
    <w:rsid w:val="077B5E2D"/>
    <w:rsid w:val="0794621A"/>
    <w:rsid w:val="07E3687A"/>
    <w:rsid w:val="07EC73A7"/>
    <w:rsid w:val="0839060D"/>
    <w:rsid w:val="087008CD"/>
    <w:rsid w:val="08B43BC0"/>
    <w:rsid w:val="0915569F"/>
    <w:rsid w:val="091E3030"/>
    <w:rsid w:val="092D4075"/>
    <w:rsid w:val="093969DE"/>
    <w:rsid w:val="094B2B54"/>
    <w:rsid w:val="099D78C4"/>
    <w:rsid w:val="09C03BD0"/>
    <w:rsid w:val="09DE1926"/>
    <w:rsid w:val="09EF70A1"/>
    <w:rsid w:val="09FA38AB"/>
    <w:rsid w:val="0A3E6F9C"/>
    <w:rsid w:val="0A604990"/>
    <w:rsid w:val="0A6E4E7E"/>
    <w:rsid w:val="0A805322"/>
    <w:rsid w:val="0ABF38DC"/>
    <w:rsid w:val="0AD804CA"/>
    <w:rsid w:val="0B4C60CE"/>
    <w:rsid w:val="0BF917DC"/>
    <w:rsid w:val="0C0B5640"/>
    <w:rsid w:val="0C0F4B29"/>
    <w:rsid w:val="0C965B84"/>
    <w:rsid w:val="0D7254AC"/>
    <w:rsid w:val="0DA03267"/>
    <w:rsid w:val="0DAF52C3"/>
    <w:rsid w:val="0EC77D42"/>
    <w:rsid w:val="0EF333F1"/>
    <w:rsid w:val="0F480BE6"/>
    <w:rsid w:val="0F502CB9"/>
    <w:rsid w:val="0FDA0D2B"/>
    <w:rsid w:val="0FEE4997"/>
    <w:rsid w:val="101A4068"/>
    <w:rsid w:val="10C718C7"/>
    <w:rsid w:val="114D6E14"/>
    <w:rsid w:val="115D681B"/>
    <w:rsid w:val="11A06192"/>
    <w:rsid w:val="11AA2FB0"/>
    <w:rsid w:val="11B231D0"/>
    <w:rsid w:val="11DA64BA"/>
    <w:rsid w:val="12437204"/>
    <w:rsid w:val="124B3047"/>
    <w:rsid w:val="128A3E55"/>
    <w:rsid w:val="12E554A9"/>
    <w:rsid w:val="12E72306"/>
    <w:rsid w:val="12EC74B0"/>
    <w:rsid w:val="12FA5A2A"/>
    <w:rsid w:val="132F2D97"/>
    <w:rsid w:val="1344359F"/>
    <w:rsid w:val="13A260D3"/>
    <w:rsid w:val="13CD756B"/>
    <w:rsid w:val="148C4EAD"/>
    <w:rsid w:val="150A1259"/>
    <w:rsid w:val="15535A7E"/>
    <w:rsid w:val="15B2687D"/>
    <w:rsid w:val="15CA5445"/>
    <w:rsid w:val="15F86CE8"/>
    <w:rsid w:val="166D47A6"/>
    <w:rsid w:val="169A786A"/>
    <w:rsid w:val="16BD346D"/>
    <w:rsid w:val="17102465"/>
    <w:rsid w:val="17103CDD"/>
    <w:rsid w:val="171C2CF0"/>
    <w:rsid w:val="174D0C77"/>
    <w:rsid w:val="17C908FC"/>
    <w:rsid w:val="17E81D7C"/>
    <w:rsid w:val="185371F8"/>
    <w:rsid w:val="18D763DC"/>
    <w:rsid w:val="19004F77"/>
    <w:rsid w:val="193146A1"/>
    <w:rsid w:val="19D60B5B"/>
    <w:rsid w:val="19F62CCA"/>
    <w:rsid w:val="1A9003E2"/>
    <w:rsid w:val="1AAF5A5C"/>
    <w:rsid w:val="1B601CD7"/>
    <w:rsid w:val="1B845949"/>
    <w:rsid w:val="1B935410"/>
    <w:rsid w:val="1BBC19AC"/>
    <w:rsid w:val="1BE4043D"/>
    <w:rsid w:val="1C09584C"/>
    <w:rsid w:val="1C320C9D"/>
    <w:rsid w:val="1C383A9F"/>
    <w:rsid w:val="1CFD6564"/>
    <w:rsid w:val="1D0622F4"/>
    <w:rsid w:val="1D0C60A8"/>
    <w:rsid w:val="1D2E73EF"/>
    <w:rsid w:val="1D391350"/>
    <w:rsid w:val="1D431AB6"/>
    <w:rsid w:val="1DC33BF2"/>
    <w:rsid w:val="1DC529C6"/>
    <w:rsid w:val="1DDE553D"/>
    <w:rsid w:val="1DF34984"/>
    <w:rsid w:val="1DFC731A"/>
    <w:rsid w:val="1E2D1C8F"/>
    <w:rsid w:val="1E9A7A68"/>
    <w:rsid w:val="1ECB0EC9"/>
    <w:rsid w:val="1F262005"/>
    <w:rsid w:val="2007584F"/>
    <w:rsid w:val="20156730"/>
    <w:rsid w:val="202E6689"/>
    <w:rsid w:val="203F1F94"/>
    <w:rsid w:val="204333D8"/>
    <w:rsid w:val="20E655E5"/>
    <w:rsid w:val="21E975F6"/>
    <w:rsid w:val="223156CB"/>
    <w:rsid w:val="224443B8"/>
    <w:rsid w:val="22AF58D5"/>
    <w:rsid w:val="2366752E"/>
    <w:rsid w:val="237630A7"/>
    <w:rsid w:val="23A41D8D"/>
    <w:rsid w:val="23AC6DC3"/>
    <w:rsid w:val="242F6A52"/>
    <w:rsid w:val="2458471E"/>
    <w:rsid w:val="24C15EFC"/>
    <w:rsid w:val="251B4FB0"/>
    <w:rsid w:val="259349EA"/>
    <w:rsid w:val="25D6361D"/>
    <w:rsid w:val="25E91F76"/>
    <w:rsid w:val="26060F33"/>
    <w:rsid w:val="26527D35"/>
    <w:rsid w:val="267E1D2C"/>
    <w:rsid w:val="26B36ED4"/>
    <w:rsid w:val="26C67D9A"/>
    <w:rsid w:val="27366F72"/>
    <w:rsid w:val="273A0303"/>
    <w:rsid w:val="274941CB"/>
    <w:rsid w:val="276E0D38"/>
    <w:rsid w:val="27A12554"/>
    <w:rsid w:val="27A933F4"/>
    <w:rsid w:val="28B07C2E"/>
    <w:rsid w:val="2909669A"/>
    <w:rsid w:val="29315647"/>
    <w:rsid w:val="2A5A7E62"/>
    <w:rsid w:val="2B232415"/>
    <w:rsid w:val="2B761B5A"/>
    <w:rsid w:val="2B7A78C7"/>
    <w:rsid w:val="2BA57DA8"/>
    <w:rsid w:val="2BB713CC"/>
    <w:rsid w:val="2C297F95"/>
    <w:rsid w:val="2CC16B70"/>
    <w:rsid w:val="2CFB19AF"/>
    <w:rsid w:val="2CFF6682"/>
    <w:rsid w:val="2D2500EE"/>
    <w:rsid w:val="2D2D27AA"/>
    <w:rsid w:val="2D714017"/>
    <w:rsid w:val="2D7F2C09"/>
    <w:rsid w:val="2DB008A9"/>
    <w:rsid w:val="2DFA1AD6"/>
    <w:rsid w:val="2E9A6C3B"/>
    <w:rsid w:val="2EAB6CF0"/>
    <w:rsid w:val="2F7A1725"/>
    <w:rsid w:val="2F934D96"/>
    <w:rsid w:val="2FBA0F3D"/>
    <w:rsid w:val="2FBD26B3"/>
    <w:rsid w:val="303C10A5"/>
    <w:rsid w:val="305419A6"/>
    <w:rsid w:val="30A97653"/>
    <w:rsid w:val="30B5388B"/>
    <w:rsid w:val="30BD4A06"/>
    <w:rsid w:val="30C86AEA"/>
    <w:rsid w:val="31024242"/>
    <w:rsid w:val="31056B37"/>
    <w:rsid w:val="31227175"/>
    <w:rsid w:val="316863F2"/>
    <w:rsid w:val="31B10269"/>
    <w:rsid w:val="31E313A9"/>
    <w:rsid w:val="31F03508"/>
    <w:rsid w:val="3248097B"/>
    <w:rsid w:val="32573BC4"/>
    <w:rsid w:val="3259617A"/>
    <w:rsid w:val="32BD0234"/>
    <w:rsid w:val="336072B2"/>
    <w:rsid w:val="336C2E70"/>
    <w:rsid w:val="348B220A"/>
    <w:rsid w:val="34D06875"/>
    <w:rsid w:val="350C4BCA"/>
    <w:rsid w:val="35690AEC"/>
    <w:rsid w:val="356D4814"/>
    <w:rsid w:val="35EB0635"/>
    <w:rsid w:val="35EF5FB9"/>
    <w:rsid w:val="36181D96"/>
    <w:rsid w:val="362731F7"/>
    <w:rsid w:val="367264E1"/>
    <w:rsid w:val="36BA5B40"/>
    <w:rsid w:val="371B5E77"/>
    <w:rsid w:val="373B6637"/>
    <w:rsid w:val="379D5BF4"/>
    <w:rsid w:val="37B01490"/>
    <w:rsid w:val="38584BA2"/>
    <w:rsid w:val="38A03B1A"/>
    <w:rsid w:val="38B45837"/>
    <w:rsid w:val="38F565F2"/>
    <w:rsid w:val="3A4B1666"/>
    <w:rsid w:val="3A4D7E97"/>
    <w:rsid w:val="3A52615F"/>
    <w:rsid w:val="3A5711F9"/>
    <w:rsid w:val="3AD15949"/>
    <w:rsid w:val="3ADC2C10"/>
    <w:rsid w:val="3AF03C25"/>
    <w:rsid w:val="3B773737"/>
    <w:rsid w:val="3B8F671B"/>
    <w:rsid w:val="3BD62138"/>
    <w:rsid w:val="3C082256"/>
    <w:rsid w:val="3C5E5545"/>
    <w:rsid w:val="3C740AE6"/>
    <w:rsid w:val="3CCA2F1F"/>
    <w:rsid w:val="3D314635"/>
    <w:rsid w:val="3D38543D"/>
    <w:rsid w:val="3D801669"/>
    <w:rsid w:val="3D8B6E3C"/>
    <w:rsid w:val="3DB920DC"/>
    <w:rsid w:val="3E0434D8"/>
    <w:rsid w:val="3E952F43"/>
    <w:rsid w:val="3ECF319F"/>
    <w:rsid w:val="3F371BDC"/>
    <w:rsid w:val="3FA83D9F"/>
    <w:rsid w:val="3FBB4C02"/>
    <w:rsid w:val="40D66938"/>
    <w:rsid w:val="413147FE"/>
    <w:rsid w:val="41391165"/>
    <w:rsid w:val="414B2955"/>
    <w:rsid w:val="41805FE0"/>
    <w:rsid w:val="418E0701"/>
    <w:rsid w:val="421375A5"/>
    <w:rsid w:val="421E7CDE"/>
    <w:rsid w:val="424D7B38"/>
    <w:rsid w:val="42793786"/>
    <w:rsid w:val="42D04B74"/>
    <w:rsid w:val="42FA191F"/>
    <w:rsid w:val="434C3868"/>
    <w:rsid w:val="43A663C7"/>
    <w:rsid w:val="43D0388E"/>
    <w:rsid w:val="44396621"/>
    <w:rsid w:val="446508A3"/>
    <w:rsid w:val="44782994"/>
    <w:rsid w:val="447B739A"/>
    <w:rsid w:val="44991F56"/>
    <w:rsid w:val="44D91BB1"/>
    <w:rsid w:val="44E61F52"/>
    <w:rsid w:val="44F11728"/>
    <w:rsid w:val="4501057B"/>
    <w:rsid w:val="45057948"/>
    <w:rsid w:val="452159D3"/>
    <w:rsid w:val="452A6482"/>
    <w:rsid w:val="457D39EB"/>
    <w:rsid w:val="45A13A05"/>
    <w:rsid w:val="46480798"/>
    <w:rsid w:val="464A52FE"/>
    <w:rsid w:val="46597510"/>
    <w:rsid w:val="468A0A6A"/>
    <w:rsid w:val="470E5E1A"/>
    <w:rsid w:val="475A368E"/>
    <w:rsid w:val="47627A6B"/>
    <w:rsid w:val="47873375"/>
    <w:rsid w:val="47AB1841"/>
    <w:rsid w:val="47CB6C66"/>
    <w:rsid w:val="48030AD2"/>
    <w:rsid w:val="485A06D3"/>
    <w:rsid w:val="486D3609"/>
    <w:rsid w:val="487C194E"/>
    <w:rsid w:val="4898089D"/>
    <w:rsid w:val="48DE6322"/>
    <w:rsid w:val="49375DDD"/>
    <w:rsid w:val="496225B6"/>
    <w:rsid w:val="499F7459"/>
    <w:rsid w:val="4A5B0514"/>
    <w:rsid w:val="4A7029E2"/>
    <w:rsid w:val="4A843885"/>
    <w:rsid w:val="4AA325C3"/>
    <w:rsid w:val="4B4D590C"/>
    <w:rsid w:val="4B626A44"/>
    <w:rsid w:val="4B840AC5"/>
    <w:rsid w:val="4BB75D49"/>
    <w:rsid w:val="4C0D7703"/>
    <w:rsid w:val="4CEC251A"/>
    <w:rsid w:val="4D652D4B"/>
    <w:rsid w:val="4E4D4DBC"/>
    <w:rsid w:val="4E55573C"/>
    <w:rsid w:val="4EAF188F"/>
    <w:rsid w:val="4EBC59EA"/>
    <w:rsid w:val="4F956549"/>
    <w:rsid w:val="4FD7195B"/>
    <w:rsid w:val="51010D07"/>
    <w:rsid w:val="51B624AC"/>
    <w:rsid w:val="523C4943"/>
    <w:rsid w:val="523E1F1A"/>
    <w:rsid w:val="52504A78"/>
    <w:rsid w:val="52870974"/>
    <w:rsid w:val="52EE1834"/>
    <w:rsid w:val="533E6CCD"/>
    <w:rsid w:val="53A73762"/>
    <w:rsid w:val="540C7B9A"/>
    <w:rsid w:val="541114E1"/>
    <w:rsid w:val="545D2A4C"/>
    <w:rsid w:val="54BF6045"/>
    <w:rsid w:val="55050D03"/>
    <w:rsid w:val="55453A08"/>
    <w:rsid w:val="55953872"/>
    <w:rsid w:val="55AC0819"/>
    <w:rsid w:val="55BD5682"/>
    <w:rsid w:val="55E763DB"/>
    <w:rsid w:val="56177D8A"/>
    <w:rsid w:val="561E6FFC"/>
    <w:rsid w:val="562149A4"/>
    <w:rsid w:val="5669649F"/>
    <w:rsid w:val="56902C09"/>
    <w:rsid w:val="569A7FF8"/>
    <w:rsid w:val="56AF5610"/>
    <w:rsid w:val="56B301C8"/>
    <w:rsid w:val="56FD2541"/>
    <w:rsid w:val="57072585"/>
    <w:rsid w:val="572D5E6C"/>
    <w:rsid w:val="57373BCA"/>
    <w:rsid w:val="58A124E0"/>
    <w:rsid w:val="58CE7BCA"/>
    <w:rsid w:val="59295730"/>
    <w:rsid w:val="595C4B46"/>
    <w:rsid w:val="596375EE"/>
    <w:rsid w:val="5992319F"/>
    <w:rsid w:val="599F6EE5"/>
    <w:rsid w:val="59B6472F"/>
    <w:rsid w:val="59C0749E"/>
    <w:rsid w:val="5A45346B"/>
    <w:rsid w:val="5A4F50B5"/>
    <w:rsid w:val="5AAF6DDE"/>
    <w:rsid w:val="5ACE695D"/>
    <w:rsid w:val="5AD8332D"/>
    <w:rsid w:val="5AEE20BF"/>
    <w:rsid w:val="5AF47E3C"/>
    <w:rsid w:val="5B83221D"/>
    <w:rsid w:val="5BB969C0"/>
    <w:rsid w:val="5C0C37CC"/>
    <w:rsid w:val="5DB90D07"/>
    <w:rsid w:val="5DDF35AD"/>
    <w:rsid w:val="5E106AC8"/>
    <w:rsid w:val="5ED91960"/>
    <w:rsid w:val="5F5A11F6"/>
    <w:rsid w:val="5F6A5254"/>
    <w:rsid w:val="5F851121"/>
    <w:rsid w:val="5FDA3B6F"/>
    <w:rsid w:val="61414705"/>
    <w:rsid w:val="61667EE4"/>
    <w:rsid w:val="619E3A5E"/>
    <w:rsid w:val="61AB4346"/>
    <w:rsid w:val="61C20E35"/>
    <w:rsid w:val="62005E6E"/>
    <w:rsid w:val="6218453E"/>
    <w:rsid w:val="62615E78"/>
    <w:rsid w:val="63067820"/>
    <w:rsid w:val="63253EEF"/>
    <w:rsid w:val="633317CD"/>
    <w:rsid w:val="63A92F3D"/>
    <w:rsid w:val="641A0856"/>
    <w:rsid w:val="64B9454C"/>
    <w:rsid w:val="64DB28E7"/>
    <w:rsid w:val="64F33106"/>
    <w:rsid w:val="65403520"/>
    <w:rsid w:val="654C59D8"/>
    <w:rsid w:val="65746B4B"/>
    <w:rsid w:val="658121D4"/>
    <w:rsid w:val="66184BFE"/>
    <w:rsid w:val="661F1237"/>
    <w:rsid w:val="662A4713"/>
    <w:rsid w:val="66485EC3"/>
    <w:rsid w:val="66B9428A"/>
    <w:rsid w:val="675B4DB1"/>
    <w:rsid w:val="67B01F93"/>
    <w:rsid w:val="68465616"/>
    <w:rsid w:val="687058A6"/>
    <w:rsid w:val="68E44F1D"/>
    <w:rsid w:val="68F876AD"/>
    <w:rsid w:val="69186745"/>
    <w:rsid w:val="693845BC"/>
    <w:rsid w:val="69805D7A"/>
    <w:rsid w:val="69AF7222"/>
    <w:rsid w:val="69CE7550"/>
    <w:rsid w:val="69DD6C2D"/>
    <w:rsid w:val="6A492541"/>
    <w:rsid w:val="6B340BDA"/>
    <w:rsid w:val="6B3E0DF3"/>
    <w:rsid w:val="6BA05D40"/>
    <w:rsid w:val="6BC83251"/>
    <w:rsid w:val="6BD92549"/>
    <w:rsid w:val="6C747B38"/>
    <w:rsid w:val="6C8D13AA"/>
    <w:rsid w:val="6D41156A"/>
    <w:rsid w:val="6D5D11BE"/>
    <w:rsid w:val="6D671080"/>
    <w:rsid w:val="6D7B607F"/>
    <w:rsid w:val="6DC37DDD"/>
    <w:rsid w:val="6E744EEA"/>
    <w:rsid w:val="6EF77ECC"/>
    <w:rsid w:val="6F483D38"/>
    <w:rsid w:val="6F5D7A50"/>
    <w:rsid w:val="6F6630F3"/>
    <w:rsid w:val="6F845A36"/>
    <w:rsid w:val="7034277F"/>
    <w:rsid w:val="70507A16"/>
    <w:rsid w:val="70A67E91"/>
    <w:rsid w:val="711F4E4D"/>
    <w:rsid w:val="71C74061"/>
    <w:rsid w:val="722D37D6"/>
    <w:rsid w:val="723218CD"/>
    <w:rsid w:val="72CB73C0"/>
    <w:rsid w:val="73323193"/>
    <w:rsid w:val="735B79CC"/>
    <w:rsid w:val="73726777"/>
    <w:rsid w:val="742712E2"/>
    <w:rsid w:val="746B4E1F"/>
    <w:rsid w:val="74844CE4"/>
    <w:rsid w:val="7509375E"/>
    <w:rsid w:val="757319E8"/>
    <w:rsid w:val="75BC5AF5"/>
    <w:rsid w:val="7621309F"/>
    <w:rsid w:val="76806C51"/>
    <w:rsid w:val="76D15861"/>
    <w:rsid w:val="76DE58A1"/>
    <w:rsid w:val="77922F9E"/>
    <w:rsid w:val="77B82176"/>
    <w:rsid w:val="77C01FFD"/>
    <w:rsid w:val="77EE2539"/>
    <w:rsid w:val="77FA19E0"/>
    <w:rsid w:val="784F4342"/>
    <w:rsid w:val="78545856"/>
    <w:rsid w:val="78641651"/>
    <w:rsid w:val="786E1A80"/>
    <w:rsid w:val="78942855"/>
    <w:rsid w:val="79240F9A"/>
    <w:rsid w:val="792C2D24"/>
    <w:rsid w:val="7A0A7D66"/>
    <w:rsid w:val="7A7409F3"/>
    <w:rsid w:val="7A8F13FD"/>
    <w:rsid w:val="7AC215D5"/>
    <w:rsid w:val="7AD02065"/>
    <w:rsid w:val="7AF412A4"/>
    <w:rsid w:val="7B315B8C"/>
    <w:rsid w:val="7C203834"/>
    <w:rsid w:val="7C7A3A0D"/>
    <w:rsid w:val="7CA72296"/>
    <w:rsid w:val="7CB06D4A"/>
    <w:rsid w:val="7CBF2F85"/>
    <w:rsid w:val="7CCD4946"/>
    <w:rsid w:val="7DD54AD0"/>
    <w:rsid w:val="7DD6726A"/>
    <w:rsid w:val="7DDC725F"/>
    <w:rsid w:val="7E420F37"/>
    <w:rsid w:val="7E507C9C"/>
    <w:rsid w:val="7EA10DAB"/>
    <w:rsid w:val="7EB76D84"/>
    <w:rsid w:val="7ED44C24"/>
    <w:rsid w:val="7F350906"/>
    <w:rsid w:val="7FA4585D"/>
    <w:rsid w:val="7FBC4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Mongolian Bait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kern w:val="44"/>
      <w:sz w:val="18"/>
      <w:szCs w:val="1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6"/>
    <w:basedOn w:val="1"/>
    <w:next w:val="1"/>
    <w:semiHidden/>
    <w:unhideWhenUsed/>
    <w:qFormat/>
    <w:uiPriority w:val="0"/>
    <w:pPr>
      <w:spacing w:before="0" w:beforeAutospacing="0" w:after="0" w:afterAutospacing="0"/>
      <w:ind w:left="0" w:right="0"/>
      <w:jc w:val="left"/>
    </w:pPr>
    <w:rPr>
      <w:rFonts w:hint="eastAsia" w:ascii="宋体" w:hAnsi="宋体" w:eastAsia="宋体" w:cs="宋体"/>
      <w:b/>
      <w:kern w:val="0"/>
      <w:sz w:val="18"/>
      <w:szCs w:val="1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0" w:after="0" w:afterAutospacing="0"/>
      <w:ind w:left="0" w:right="0"/>
      <w:jc w:val="left"/>
    </w:pPr>
    <w:rPr>
      <w:kern w:val="0"/>
      <w:sz w:val="24"/>
      <w:lang w:val="en-US" w:eastAsia="zh-CN" w:bidi="ar"/>
    </w:rPr>
  </w:style>
  <w:style w:type="character" w:styleId="11">
    <w:name w:val="Strong"/>
    <w:basedOn w:val="10"/>
    <w:qFormat/>
    <w:uiPriority w:val="0"/>
    <w:rPr>
      <w:b/>
    </w:rPr>
  </w:style>
  <w:style w:type="character" w:styleId="12">
    <w:name w:val="FollowedHyperlink"/>
    <w:basedOn w:val="10"/>
    <w:qFormat/>
    <w:uiPriority w:val="0"/>
    <w:rPr>
      <w:color w:val="800080"/>
      <w:u w:val="none"/>
    </w:rPr>
  </w:style>
  <w:style w:type="character" w:styleId="13">
    <w:name w:val="Emphasis"/>
    <w:basedOn w:val="10"/>
    <w:qFormat/>
    <w:uiPriority w:val="0"/>
  </w:style>
  <w:style w:type="character" w:styleId="14">
    <w:name w:val="Hyperlink"/>
    <w:basedOn w:val="10"/>
    <w:qFormat/>
    <w:uiPriority w:val="0"/>
    <w:rPr>
      <w:color w:val="0000FF"/>
      <w:u w:val="none"/>
    </w:rPr>
  </w:style>
  <w:style w:type="character" w:customStyle="1" w:styleId="15">
    <w:name w:val="hover21"/>
    <w:basedOn w:val="10"/>
    <w:qFormat/>
    <w:uiPriority w:val="0"/>
    <w:rPr>
      <w:color w:val="FFFFFF"/>
      <w:shd w:val="clear" w:fill="59CF00"/>
    </w:rPr>
  </w:style>
  <w:style w:type="character" w:customStyle="1" w:styleId="16">
    <w:name w:val="hover22"/>
    <w:basedOn w:val="10"/>
    <w:qFormat/>
    <w:uiPriority w:val="0"/>
    <w:rPr>
      <w:color w:val="FFFFFF"/>
      <w:shd w:val="clear" w:fill="0067CC"/>
    </w:rPr>
  </w:style>
  <w:style w:type="character" w:customStyle="1" w:styleId="17">
    <w:name w:val="hover23"/>
    <w:basedOn w:val="10"/>
    <w:qFormat/>
    <w:uiPriority w:val="0"/>
    <w:rPr>
      <w:shd w:val="clear" w:fill="47AD68"/>
    </w:rPr>
  </w:style>
  <w:style w:type="character" w:customStyle="1" w:styleId="18">
    <w:name w:val="hover24"/>
    <w:basedOn w:val="10"/>
    <w:qFormat/>
    <w:uiPriority w:val="0"/>
    <w:rPr>
      <w:color w:val="FFFFFF"/>
      <w:shd w:val="clear" w:fill="E04A2B"/>
    </w:rPr>
  </w:style>
  <w:style w:type="character" w:customStyle="1" w:styleId="19">
    <w:name w:val="hover25"/>
    <w:basedOn w:val="10"/>
    <w:qFormat/>
    <w:uiPriority w:val="0"/>
    <w:rPr>
      <w:shd w:val="clear" w:fill="47AD68"/>
    </w:rPr>
  </w:style>
  <w:style w:type="character" w:customStyle="1" w:styleId="20">
    <w:name w:val="hover26"/>
    <w:basedOn w:val="10"/>
    <w:qFormat/>
    <w:uiPriority w:val="0"/>
    <w:rPr>
      <w:shd w:val="clear" w:fill="970815"/>
    </w:rPr>
  </w:style>
  <w:style w:type="character" w:customStyle="1" w:styleId="21">
    <w:name w:val="hover27"/>
    <w:basedOn w:val="10"/>
    <w:qFormat/>
    <w:uiPriority w:val="0"/>
    <w:rPr>
      <w:shd w:val="clear" w:fill="DADADA"/>
    </w:rPr>
  </w:style>
  <w:style w:type="character" w:customStyle="1" w:styleId="22">
    <w:name w:val="name"/>
    <w:basedOn w:val="10"/>
    <w:qFormat/>
    <w:uiPriority w:val="0"/>
  </w:style>
  <w:style w:type="character" w:customStyle="1" w:styleId="23">
    <w:name w:val="number"/>
    <w:basedOn w:val="10"/>
    <w:qFormat/>
    <w:uiPriority w:val="0"/>
  </w:style>
  <w:style w:type="character" w:customStyle="1" w:styleId="24">
    <w:name w:val="bg"/>
    <w:basedOn w:val="10"/>
    <w:qFormat/>
    <w:uiPriority w:val="0"/>
    <w:rPr>
      <w:color w:val="FFFFFF"/>
      <w:shd w:val="clear" w:fill="3D7FCA"/>
    </w:rPr>
  </w:style>
  <w:style w:type="character" w:customStyle="1" w:styleId="25">
    <w:name w:val="bn-arrows-right"/>
    <w:basedOn w:val="10"/>
    <w:qFormat/>
    <w:uiPriority w:val="0"/>
  </w:style>
  <w:style w:type="character" w:customStyle="1" w:styleId="26">
    <w:name w:val="hover30"/>
    <w:basedOn w:val="10"/>
    <w:qFormat/>
    <w:uiPriority w:val="0"/>
  </w:style>
  <w:style w:type="paragraph" w:styleId="27">
    <w:name w:val="List Paragraph"/>
    <w:basedOn w:val="1"/>
    <w:qFormat/>
    <w:uiPriority w:val="34"/>
    <w:pPr>
      <w:ind w:firstLine="420" w:firstLineChars="200"/>
    </w:pPr>
    <w:rPr>
      <w:rFonts w:ascii="Calibri" w:hAnsi="Calibri" w:eastAsia="宋体" w:cs="Calibri"/>
      <w:szCs w:val="21"/>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中熙</cp:lastModifiedBy>
  <cp:lastPrinted>2020-07-15T03:42:00Z</cp:lastPrinted>
  <dcterms:modified xsi:type="dcterms:W3CDTF">2020-07-20T02:18:37Z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