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8847" w:type="dxa"/>
        <w:tblInd w:w="8" w:type="dxa"/>
        <w:tblLayout w:type="fixed"/>
        <w:tblCellMar>
          <w:top w:w="0" w:type="dxa"/>
          <w:left w:w="0" w:type="dxa"/>
          <w:bottom w:w="0" w:type="dxa"/>
          <w:right w:w="0" w:type="dxa"/>
        </w:tblCellMar>
      </w:tblPr>
      <w:tblGrid>
        <w:gridCol w:w="85"/>
        <w:gridCol w:w="4297"/>
        <w:gridCol w:w="4345"/>
        <w:gridCol w:w="120"/>
      </w:tblGrid>
      <w:tr>
        <w:tblPrEx>
          <w:tblLayout w:type="fixed"/>
        </w:tblPrEx>
        <w:trPr>
          <w:cantSplit/>
          <w:trHeight w:val="1869" w:hRule="atLeast"/>
        </w:trPr>
        <w:tc>
          <w:tcPr>
            <w:tcW w:w="4382" w:type="dxa"/>
            <w:gridSpan w:val="2"/>
          </w:tcPr>
          <w:p>
            <w:pPr>
              <w:snapToGrid w:val="0"/>
              <w:spacing w:line="480" w:lineRule="exact"/>
              <w:rPr>
                <w:rFonts w:ascii="黑体" w:hAnsi="华文中宋" w:eastAsia="黑体" w:cs="仿宋_GB2312"/>
                <w:color w:val="FFFFFF"/>
                <w:sz w:val="32"/>
                <w:szCs w:val="32"/>
              </w:rPr>
            </w:pPr>
            <w:r>
              <w:rPr>
                <w:rFonts w:hint="eastAsia" w:ascii="黑体" w:hAnsi="华文中宋" w:eastAsia="黑体" w:cs="仿宋_GB2312"/>
                <w:color w:val="FFFFFF"/>
                <w:sz w:val="32"/>
                <w:szCs w:val="32"/>
              </w:rPr>
              <w:t>年</w:t>
            </w:r>
          </w:p>
          <w:p>
            <w:pPr>
              <w:snapToGrid w:val="0"/>
              <w:spacing w:afterLines="100" w:line="480" w:lineRule="exact"/>
              <w:rPr>
                <w:rFonts w:ascii="黑体" w:eastAsia="黑体"/>
                <w:color w:val="FFFFFF"/>
                <w:sz w:val="32"/>
                <w:szCs w:val="32"/>
              </w:rPr>
            </w:pPr>
            <w:r>
              <w:rPr>
                <w:rFonts w:hint="eastAsia" w:ascii="黑体" w:hAnsi="华文中宋" w:eastAsia="黑体" w:cs="仿宋_GB2312"/>
                <w:color w:val="FFFFFF"/>
                <w:sz w:val="32"/>
                <w:szCs w:val="32"/>
              </w:rPr>
              <w:t>加急</w:t>
            </w:r>
          </w:p>
          <w:p>
            <w:pPr>
              <w:pStyle w:val="7"/>
              <w:spacing w:line="480" w:lineRule="exact"/>
              <w:ind w:left="5250"/>
              <w:rPr>
                <w:color w:val="FFFFFF"/>
              </w:rPr>
            </w:pPr>
          </w:p>
        </w:tc>
        <w:tc>
          <w:tcPr>
            <w:tcW w:w="4465" w:type="dxa"/>
            <w:gridSpan w:val="2"/>
          </w:tcPr>
          <w:p>
            <w:pPr>
              <w:pStyle w:val="18"/>
              <w:tabs>
                <w:tab w:val="left" w:pos="2735"/>
              </w:tabs>
              <w:spacing w:line="480" w:lineRule="exact"/>
              <w:jc w:val="both"/>
              <w:rPr>
                <w:color w:val="FFFFFF"/>
              </w:rPr>
            </w:pPr>
            <w:bookmarkStart w:id="0" w:name="PrivateTime"/>
            <w:bookmarkEnd w:id="0"/>
            <w:bookmarkStart w:id="1" w:name="PrivateLevel"/>
            <w:bookmarkEnd w:id="1"/>
            <w:r>
              <w:rPr>
                <w:color w:val="FFFFFF"/>
              </w:rPr>
              <w:tab/>
            </w:r>
            <w:r>
              <w:rPr>
                <w:rFonts w:hint="eastAsia" w:hAnsi="仿宋_GB2312" w:cs="仿宋_GB2312"/>
                <w:color w:val="FFFFFF"/>
                <w:szCs w:val="32"/>
              </w:rPr>
              <w:t>样式</w:t>
            </w:r>
          </w:p>
        </w:tc>
      </w:tr>
      <w:tr>
        <w:tblPrEx>
          <w:tblLayout w:type="fixed"/>
        </w:tblPrEx>
        <w:trPr>
          <w:gridBefore w:val="1"/>
          <w:gridAfter w:val="1"/>
          <w:wBefore w:w="85" w:type="dxa"/>
          <w:wAfter w:w="120" w:type="dxa"/>
          <w:cantSplit/>
          <w:trHeight w:val="922" w:hRule="atLeast"/>
        </w:trPr>
        <w:tc>
          <w:tcPr>
            <w:tcW w:w="8642" w:type="dxa"/>
            <w:gridSpan w:val="2"/>
            <w:vAlign w:val="center"/>
          </w:tcPr>
          <w:p>
            <w:pPr>
              <w:pStyle w:val="2"/>
              <w:spacing w:afterLines="50"/>
              <w:jc w:val="center"/>
              <w:rPr>
                <w:rFonts w:ascii="方正大标宋简体" w:hAnsi="华文细黑" w:eastAsia="方正大标宋简体"/>
                <w:spacing w:val="-14"/>
                <w:w w:val="80"/>
                <w:sz w:val="86"/>
                <w:szCs w:val="86"/>
              </w:rPr>
            </w:pPr>
            <w:bookmarkStart w:id="3" w:name="_GoBack"/>
            <w:bookmarkEnd w:id="3"/>
            <w:bookmarkStart w:id="2" w:name="Urgent"/>
            <w:bookmarkEnd w:id="2"/>
          </w:p>
        </w:tc>
      </w:tr>
      <w:tr>
        <w:tblPrEx>
          <w:tblLayout w:type="fixed"/>
        </w:tblPrEx>
        <w:trPr>
          <w:cantSplit/>
          <w:trHeight w:val="1091" w:hRule="atLeast"/>
        </w:trPr>
        <w:tc>
          <w:tcPr>
            <w:tcW w:w="8847" w:type="dxa"/>
            <w:gridSpan w:val="4"/>
            <w:vAlign w:val="bottom"/>
          </w:tcPr>
          <w:p>
            <w:pPr>
              <w:tabs>
                <w:tab w:val="left" w:pos="8460"/>
              </w:tabs>
              <w:spacing w:beforeLines="50" w:line="560" w:lineRule="exact"/>
              <w:jc w:val="center"/>
              <w:rPr>
                <w:rFonts w:ascii="仿宋_GB2312" w:hAnsi="华文中宋" w:eastAsia="仿宋_GB2312" w:cs="仿宋_GB2312"/>
                <w:color w:val="000000"/>
                <w:sz w:val="32"/>
                <w:szCs w:val="32"/>
              </w:rPr>
            </w:pPr>
            <w:r>
              <w:rPr>
                <w:rFonts w:hint="eastAsia" w:ascii="仿宋_GB2312" w:eastAsia="仿宋_GB2312"/>
                <w:color w:val="000000"/>
                <w:sz w:val="32"/>
                <w:szCs w:val="32"/>
              </w:rPr>
              <w:t>深盐府规〔2020〕</w:t>
            </w:r>
            <w:r>
              <w:rPr>
                <w:rFonts w:hint="eastAsia" w:ascii="仿宋_GB2312" w:eastAsia="仿宋_GB2312"/>
                <w:color w:val="000000"/>
                <w:sz w:val="32"/>
                <w:szCs w:val="32"/>
                <w:lang w:val="en-US" w:eastAsia="zh-CN"/>
              </w:rPr>
              <w:t>2</w:t>
            </w:r>
            <w:r>
              <w:rPr>
                <w:rFonts w:hint="eastAsia" w:ascii="仿宋_GB2312" w:hAnsi="华文中宋" w:eastAsia="仿宋_GB2312" w:cs="仿宋_GB2312"/>
                <w:color w:val="000000"/>
                <w:sz w:val="32"/>
                <w:szCs w:val="32"/>
              </w:rPr>
              <w:t>号</w:t>
            </w:r>
          </w:p>
        </w:tc>
      </w:tr>
      <w:tr>
        <w:tblPrEx>
          <w:tblLayout w:type="fixed"/>
          <w:tblCellMar>
            <w:top w:w="0" w:type="dxa"/>
            <w:left w:w="0" w:type="dxa"/>
            <w:bottom w:w="0" w:type="dxa"/>
            <w:right w:w="0" w:type="dxa"/>
          </w:tblCellMar>
        </w:tblPrEx>
        <w:trPr>
          <w:cantSplit/>
          <w:trHeight w:val="166" w:hRule="exact"/>
        </w:trPr>
        <w:tc>
          <w:tcPr>
            <w:tcW w:w="8847" w:type="dxa"/>
            <w:gridSpan w:val="4"/>
            <w:tcBorders>
              <w:bottom w:val="single" w:color="FFFFFF" w:sz="18" w:space="0"/>
            </w:tcBorders>
          </w:tcPr>
          <w:p>
            <w:pPr>
              <w:jc w:val="center"/>
            </w:pPr>
          </w:p>
        </w:tc>
      </w:tr>
    </w:tbl>
    <w:p>
      <w:pPr>
        <w:spacing w:line="590" w:lineRule="exact"/>
        <w:rPr>
          <w:rFonts w:ascii="仿宋_GB2312" w:eastAsia="仿宋_GB2312"/>
          <w:color w:val="000000"/>
          <w:sz w:val="32"/>
          <w:szCs w:val="32"/>
        </w:rPr>
      </w:pPr>
    </w:p>
    <w:p>
      <w:pPr>
        <w:spacing w:line="590" w:lineRule="exact"/>
        <w:rPr>
          <w:rFonts w:ascii="仿宋_GB2312" w:hAnsi="华文中宋" w:eastAsia="仿宋_GB2312" w:cs="仿宋_GB2312"/>
          <w:color w:val="000000"/>
          <w:sz w:val="32"/>
          <w:szCs w:val="32"/>
        </w:rPr>
      </w:pPr>
    </w:p>
    <w:p>
      <w:pPr>
        <w:spacing w:line="580" w:lineRule="exact"/>
        <w:jc w:val="center"/>
        <w:rPr>
          <w:rFonts w:ascii="方正小标宋简体" w:hAnsi="华文中宋" w:eastAsia="方正小标宋简体" w:cs="仿宋_GB2312"/>
          <w:color w:val="000000"/>
          <w:sz w:val="44"/>
          <w:szCs w:val="44"/>
        </w:rPr>
      </w:pPr>
      <w:r>
        <w:rPr>
          <w:rFonts w:hint="eastAsia" w:ascii="方正小标宋简体" w:hAnsi="华文中宋" w:eastAsia="方正小标宋简体" w:cs="仿宋_GB2312"/>
          <w:color w:val="000000"/>
          <w:sz w:val="44"/>
          <w:szCs w:val="44"/>
        </w:rPr>
        <w:t>深圳市盐田区人民政府关于印发盐田区</w:t>
      </w:r>
    </w:p>
    <w:p>
      <w:pPr>
        <w:spacing w:line="580" w:lineRule="exact"/>
        <w:jc w:val="center"/>
        <w:rPr>
          <w:rFonts w:ascii="方正小标宋简体" w:hAnsi="华文中宋" w:eastAsia="方正小标宋简体" w:cs="仿宋_GB2312"/>
          <w:color w:val="000000"/>
          <w:sz w:val="44"/>
          <w:szCs w:val="44"/>
        </w:rPr>
      </w:pPr>
      <w:r>
        <w:rPr>
          <w:rFonts w:hint="eastAsia" w:ascii="方正小标宋简体" w:hAnsi="华文中宋" w:eastAsia="方正小标宋简体" w:cs="仿宋_GB2312"/>
          <w:color w:val="000000"/>
          <w:sz w:val="44"/>
          <w:szCs w:val="44"/>
        </w:rPr>
        <w:t>促进重点产业高质量发展扶持办法</w:t>
      </w:r>
    </w:p>
    <w:p>
      <w:pPr>
        <w:spacing w:line="580" w:lineRule="exact"/>
        <w:jc w:val="center"/>
        <w:rPr>
          <w:rFonts w:ascii="方正小标宋简体" w:hAnsi="华文中宋" w:eastAsia="方正小标宋简体" w:cs="仿宋_GB2312"/>
          <w:color w:val="000000"/>
          <w:spacing w:val="-20"/>
          <w:sz w:val="44"/>
          <w:szCs w:val="44"/>
        </w:rPr>
      </w:pPr>
      <w:r>
        <w:rPr>
          <w:rFonts w:hint="eastAsia" w:ascii="方正小标宋简体" w:hAnsi="华文中宋" w:eastAsia="方正小标宋简体" w:cs="仿宋_GB2312"/>
          <w:color w:val="000000"/>
          <w:sz w:val="44"/>
          <w:szCs w:val="44"/>
        </w:rPr>
        <w:t>的通知</w:t>
      </w:r>
    </w:p>
    <w:p>
      <w:pPr>
        <w:spacing w:line="590" w:lineRule="exact"/>
        <w:rPr>
          <w:rFonts w:ascii="仿宋_GB2312" w:hAnsi="华文中宋" w:eastAsia="仿宋_GB2312" w:cs="仿宋_GB2312"/>
          <w:color w:val="000000"/>
          <w:sz w:val="32"/>
          <w:szCs w:val="32"/>
        </w:rPr>
      </w:pPr>
    </w:p>
    <w:p>
      <w:pPr>
        <w:spacing w:line="590" w:lineRule="exact"/>
        <w:rPr>
          <w:rFonts w:ascii="华文中宋" w:hAnsi="华文中宋" w:eastAsia="华文中宋" w:cs="仿宋_GB2312"/>
          <w:color w:val="000000"/>
          <w:sz w:val="32"/>
          <w:szCs w:val="32"/>
        </w:rPr>
      </w:pPr>
      <w:r>
        <w:rPr>
          <w:rFonts w:hint="eastAsia" w:ascii="仿宋_GB2312" w:hAnsi="华文中宋" w:eastAsia="仿宋_GB2312" w:cs="仿宋_GB2312"/>
          <w:color w:val="000000"/>
          <w:sz w:val="32"/>
          <w:szCs w:val="32"/>
        </w:rPr>
        <w:t>各街道办事处，区政府直属、驻盐各单位</w:t>
      </w:r>
      <w:r>
        <w:rPr>
          <w:rFonts w:hint="eastAsia" w:ascii="华文中宋" w:hAnsi="华文中宋" w:eastAsia="华文中宋" w:cs="仿宋_GB2312"/>
          <w:color w:val="000000"/>
          <w:sz w:val="32"/>
          <w:szCs w:val="32"/>
        </w:rPr>
        <w:t>：</w:t>
      </w:r>
    </w:p>
    <w:p>
      <w:pPr>
        <w:spacing w:line="590" w:lineRule="exact"/>
        <w:ind w:firstLine="640" w:firstLineChars="200"/>
        <w:rPr>
          <w:rFonts w:ascii="仿宋_GB2312" w:hAnsi="华文中宋" w:eastAsia="仿宋_GB2312" w:cs="仿宋_GB2312"/>
          <w:color w:val="000000"/>
          <w:spacing w:val="-6"/>
          <w:sz w:val="32"/>
          <w:szCs w:val="32"/>
        </w:rPr>
      </w:pPr>
      <w:r>
        <w:rPr>
          <w:rFonts w:hint="eastAsia" w:ascii="仿宋_GB2312" w:hAnsi="华文中宋" w:eastAsia="仿宋_GB2312" w:cs="仿宋_GB2312"/>
          <w:color w:val="000000"/>
          <w:sz w:val="32"/>
          <w:szCs w:val="32"/>
        </w:rPr>
        <w:t>现将《盐田区促进重点产业高质量发展扶持办法》</w:t>
      </w:r>
      <w:r>
        <w:rPr>
          <w:rFonts w:hint="eastAsia" w:ascii="仿宋_GB2312" w:hAnsi="华文中宋" w:eastAsia="仿宋_GB2312" w:cs="仿宋_GB2312"/>
          <w:color w:val="000000"/>
          <w:spacing w:val="-6"/>
          <w:sz w:val="32"/>
          <w:szCs w:val="32"/>
        </w:rPr>
        <w:t>印发给你们，请认真贯彻执行。</w:t>
      </w:r>
    </w:p>
    <w:p>
      <w:pPr>
        <w:spacing w:line="590" w:lineRule="exact"/>
        <w:rPr>
          <w:rFonts w:ascii="仿宋_GB2312" w:hAnsi="华文中宋" w:eastAsia="仿宋_GB2312" w:cs="仿宋_GB2312"/>
          <w:color w:val="000000"/>
          <w:spacing w:val="-6"/>
          <w:sz w:val="32"/>
          <w:szCs w:val="32"/>
        </w:rPr>
      </w:pPr>
    </w:p>
    <w:p>
      <w:pPr>
        <w:spacing w:line="590" w:lineRule="exact"/>
        <w:rPr>
          <w:rFonts w:ascii="仿宋_GB2312" w:hAnsi="华文中宋" w:eastAsia="仿宋_GB2312" w:cs="仿宋_GB2312"/>
          <w:color w:val="000000"/>
          <w:spacing w:val="-6"/>
          <w:sz w:val="32"/>
          <w:szCs w:val="32"/>
        </w:rPr>
      </w:pPr>
    </w:p>
    <w:p>
      <w:pPr>
        <w:spacing w:line="590" w:lineRule="exact"/>
        <w:ind w:right="640" w:firstLine="4480" w:firstLineChars="1400"/>
        <w:rPr>
          <w:rFonts w:ascii="仿宋_GB2312" w:hAnsi="华文中宋" w:eastAsia="仿宋_GB2312"/>
          <w:color w:val="000000"/>
          <w:sz w:val="32"/>
          <w:szCs w:val="32"/>
        </w:rPr>
      </w:pPr>
      <w:r>
        <w:rPr>
          <w:rFonts w:hint="eastAsia" w:ascii="仿宋_GB2312" w:hAnsi="华文中宋" w:eastAsia="仿宋_GB2312"/>
          <w:color w:val="000000"/>
          <w:sz w:val="32"/>
          <w:szCs w:val="32"/>
        </w:rPr>
        <w:t>深圳市盐田区人民政府</w:t>
      </w:r>
    </w:p>
    <w:p>
      <w:pPr>
        <w:tabs>
          <w:tab w:val="left" w:pos="4680"/>
          <w:tab w:val="left" w:pos="4860"/>
          <w:tab w:val="left" w:pos="5040"/>
        </w:tabs>
        <w:wordWrap w:val="0"/>
        <w:spacing w:line="590" w:lineRule="exact"/>
        <w:ind w:right="640"/>
        <w:rPr>
          <w:rFonts w:ascii="仿宋_GB2312" w:hAnsi="华文中宋" w:eastAsia="仿宋_GB2312"/>
          <w:color w:val="000000"/>
          <w:sz w:val="32"/>
          <w:szCs w:val="32"/>
        </w:rPr>
      </w:pPr>
      <w:r>
        <w:rPr>
          <w:rFonts w:hint="eastAsia" w:ascii="仿宋_GB2312" w:hAnsi="华文中宋" w:eastAsia="仿宋_GB2312"/>
          <w:color w:val="000000"/>
          <w:sz w:val="32"/>
          <w:szCs w:val="32"/>
        </w:rPr>
        <w:t xml:space="preserve">                               2020年</w:t>
      </w:r>
      <w:r>
        <w:rPr>
          <w:rFonts w:hint="eastAsia" w:ascii="仿宋_GB2312" w:hAnsi="宋体" w:eastAsia="仿宋_GB2312" w:cs="仿宋_GB2312"/>
          <w:color w:val="000000"/>
          <w:sz w:val="32"/>
          <w:szCs w:val="32"/>
        </w:rPr>
        <w:t>5</w:t>
      </w:r>
      <w:r>
        <w:rPr>
          <w:rFonts w:hint="eastAsia" w:ascii="仿宋_GB2312" w:hAnsi="华文中宋" w:eastAsia="仿宋_GB2312"/>
          <w:color w:val="000000"/>
          <w:sz w:val="32"/>
          <w:szCs w:val="32"/>
        </w:rPr>
        <w:t>月</w:t>
      </w:r>
      <w:r>
        <w:rPr>
          <w:rFonts w:hint="eastAsia" w:ascii="仿宋_GB2312" w:hAnsi="宋体" w:eastAsia="仿宋_GB2312" w:cs="仿宋_GB2312"/>
          <w:color w:val="000000"/>
          <w:sz w:val="32"/>
          <w:szCs w:val="32"/>
          <w:lang w:val="en-US" w:eastAsia="zh-CN"/>
        </w:rPr>
        <w:t>20</w:t>
      </w:r>
      <w:r>
        <w:rPr>
          <w:rFonts w:hint="eastAsia" w:ascii="仿宋_GB2312" w:hAnsi="华文中宋" w:eastAsia="仿宋_GB2312"/>
          <w:color w:val="000000"/>
          <w:sz w:val="32"/>
          <w:szCs w:val="32"/>
        </w:rPr>
        <w:t>日</w:t>
      </w:r>
    </w:p>
    <w:p>
      <w:pPr>
        <w:tabs>
          <w:tab w:val="left" w:pos="4680"/>
          <w:tab w:val="left" w:pos="4860"/>
          <w:tab w:val="left" w:pos="5040"/>
        </w:tabs>
        <w:wordWrap w:val="0"/>
        <w:spacing w:line="590" w:lineRule="exact"/>
        <w:ind w:right="640"/>
        <w:rPr>
          <w:rFonts w:ascii="仿宋_GB2312" w:hAnsi="华文中宋" w:eastAsia="仿宋_GB2312"/>
          <w:color w:val="000000"/>
          <w:sz w:val="32"/>
          <w:szCs w:val="32"/>
        </w:rPr>
      </w:pPr>
    </w:p>
    <w:p>
      <w:pPr>
        <w:autoSpaceDE w:val="0"/>
        <w:autoSpaceDN w:val="0"/>
        <w:adjustRightInd w:val="0"/>
        <w:spacing w:line="560" w:lineRule="exact"/>
        <w:jc w:val="center"/>
        <w:rPr>
          <w:rFonts w:ascii="方正小标宋简体" w:hAnsi="宋体" w:eastAsia="方正小标宋简体"/>
          <w:color w:val="000000"/>
          <w:sz w:val="32"/>
          <w:szCs w:val="32"/>
        </w:rPr>
      </w:pPr>
    </w:p>
    <w:p>
      <w:pPr>
        <w:autoSpaceDE w:val="0"/>
        <w:autoSpaceDN w:val="0"/>
        <w:adjustRightInd w:val="0"/>
        <w:spacing w:line="560" w:lineRule="exact"/>
        <w:ind w:left="200"/>
        <w:jc w:val="center"/>
        <w:rPr>
          <w:rFonts w:ascii="方正小标宋简体" w:eastAsia="方正小标宋简体"/>
          <w:color w:val="000000"/>
          <w:sz w:val="44"/>
          <w:szCs w:val="44"/>
        </w:rPr>
      </w:pPr>
      <w:r>
        <w:rPr>
          <w:rFonts w:hint="eastAsia" w:ascii="方正小标宋简体" w:hAnsi="微软雅黑" w:eastAsia="方正小标宋简体"/>
          <w:sz w:val="44"/>
          <w:szCs w:val="44"/>
        </w:rPr>
        <w:t>盐田区促进重点产业高质量发展扶持办法</w:t>
      </w:r>
    </w:p>
    <w:p>
      <w:pPr>
        <w:pStyle w:val="22"/>
        <w:spacing w:line="560" w:lineRule="exact"/>
        <w:ind w:firstLine="0" w:firstLineChars="0"/>
        <w:rPr>
          <w:rFonts w:ascii="Times New Roman" w:hAnsi="Times New Roman" w:eastAsia="黑体"/>
          <w:color w:val="000000"/>
          <w:sz w:val="32"/>
          <w:szCs w:val="32"/>
        </w:rPr>
      </w:pPr>
    </w:p>
    <w:p>
      <w:pPr>
        <w:numPr>
          <w:ilvl w:val="255"/>
          <w:numId w:val="0"/>
        </w:numPr>
        <w:overflowPunct w:val="0"/>
        <w:autoSpaceDE w:val="0"/>
        <w:autoSpaceDN w:val="0"/>
        <w:adjustRightInd w:val="0"/>
        <w:snapToGrid w:val="0"/>
        <w:spacing w:afterLines="50" w:line="560" w:lineRule="exact"/>
        <w:ind w:left="0" w:firstLine="0"/>
        <w:jc w:val="center"/>
        <w:rPr>
          <w:rFonts w:ascii="黑体" w:hAnsi="宋体" w:eastAsia="黑体" w:cs="黑体"/>
          <w:sz w:val="32"/>
          <w:szCs w:val="32"/>
        </w:rPr>
      </w:pPr>
      <w:r>
        <w:rPr>
          <w:rFonts w:hint="eastAsia" w:ascii="黑体" w:hAnsi="宋体" w:eastAsia="黑体" w:cs="黑体"/>
          <w:sz w:val="32"/>
          <w:szCs w:val="32"/>
        </w:rPr>
        <w:t>第一章 总则</w:t>
      </w:r>
    </w:p>
    <w:p>
      <w:pPr>
        <w:overflowPunct w:val="0"/>
        <w:autoSpaceDE w:val="0"/>
        <w:autoSpaceDN w:val="0"/>
        <w:adjustRightInd w:val="0"/>
        <w:snapToGrid w:val="0"/>
        <w:spacing w:line="560" w:lineRule="exact"/>
        <w:ind w:firstLine="640" w:firstLineChars="200"/>
        <w:rPr>
          <w:rFonts w:ascii="仿宋_GB2312" w:eastAsia="仿宋_GB2312" w:cs="仿宋_GB2312"/>
          <w:sz w:val="32"/>
          <w:szCs w:val="32"/>
        </w:rPr>
      </w:pPr>
      <w:r>
        <w:rPr>
          <w:rFonts w:hint="eastAsia" w:ascii="黑体" w:hAnsi="宋体" w:eastAsia="黑体" w:cs="黑体"/>
          <w:kern w:val="0"/>
          <w:sz w:val="32"/>
          <w:szCs w:val="32"/>
        </w:rPr>
        <w:t xml:space="preserve">第一条 </w:t>
      </w:r>
      <w:r>
        <w:rPr>
          <w:rFonts w:hint="eastAsia" w:ascii="仿宋_GB2312" w:eastAsia="仿宋_GB2312" w:cs="仿宋_GB2312"/>
          <w:sz w:val="32"/>
          <w:szCs w:val="32"/>
        </w:rPr>
        <w:t>为促进盐田区产业高质量发展，加快建成宜居宜业宜游的现代化国际化创新型滨海城区，</w:t>
      </w:r>
      <w:r>
        <w:rPr>
          <w:rFonts w:hint="eastAsia" w:ascii="仿宋_GB2312" w:eastAsia="仿宋_GB2312" w:cs="仿宋"/>
          <w:sz w:val="32"/>
          <w:szCs w:val="32"/>
        </w:rPr>
        <w:t>结合盐田产业特点，制定本办法。</w:t>
      </w:r>
    </w:p>
    <w:p>
      <w:pPr>
        <w:overflowPunct w:val="0"/>
        <w:autoSpaceDE w:val="0"/>
        <w:autoSpaceDN w:val="0"/>
        <w:adjustRightInd w:val="0"/>
        <w:snapToGrid w:val="0"/>
        <w:spacing w:line="560" w:lineRule="exact"/>
        <w:ind w:firstLine="640" w:firstLineChars="200"/>
        <w:rPr>
          <w:rFonts w:ascii="仿宋_GB2312" w:eastAsia="仿宋_GB2312" w:cs="仿宋"/>
          <w:sz w:val="32"/>
          <w:szCs w:val="32"/>
        </w:rPr>
      </w:pPr>
      <w:r>
        <w:rPr>
          <w:rFonts w:hint="eastAsia" w:ascii="黑体" w:hAnsi="宋体" w:eastAsia="黑体" w:cs="黑体"/>
          <w:kern w:val="0"/>
          <w:sz w:val="32"/>
          <w:szCs w:val="32"/>
        </w:rPr>
        <w:t xml:space="preserve">第二条 </w:t>
      </w:r>
      <w:r>
        <w:rPr>
          <w:rFonts w:hint="eastAsia" w:ascii="仿宋_GB2312" w:hAnsi="仿宋" w:eastAsia="仿宋_GB2312" w:cs="宋体"/>
          <w:kern w:val="0"/>
          <w:sz w:val="32"/>
          <w:szCs w:val="32"/>
        </w:rPr>
        <w:t>本办法重点扶持航运物流、工业制造、商贸服务和金融等行业的企业。</w:t>
      </w:r>
      <w:r>
        <w:rPr>
          <w:rFonts w:hint="eastAsia" w:ascii="仿宋_GB2312" w:eastAsia="仿宋_GB2312" w:cs="仿宋"/>
          <w:sz w:val="32"/>
          <w:szCs w:val="32"/>
        </w:rPr>
        <w:t>在盐田区依法注册登记，具有独立法人资格，商事登记地和税务登记地均在盐田区的企业，可按照本办法申请资金资助，本办法另有规定的除外。</w:t>
      </w:r>
    </w:p>
    <w:p>
      <w:pPr>
        <w:widowControl/>
        <w:shd w:val="clear" w:color="auto" w:fill="FFFFFF"/>
        <w:spacing w:line="560" w:lineRule="exact"/>
        <w:ind w:firstLine="640" w:firstLineChars="200"/>
        <w:contextualSpacing/>
        <w:rPr>
          <w:rFonts w:ascii="仿宋_GB2312" w:eastAsia="仿宋_GB2312" w:cs="仿宋"/>
          <w:sz w:val="32"/>
          <w:szCs w:val="32"/>
        </w:rPr>
      </w:pPr>
      <w:r>
        <w:rPr>
          <w:rFonts w:hint="eastAsia" w:ascii="黑体" w:hAnsi="宋体" w:eastAsia="黑体" w:cs="黑体"/>
          <w:kern w:val="0"/>
          <w:sz w:val="32"/>
          <w:szCs w:val="32"/>
        </w:rPr>
        <w:t>第三条</w:t>
      </w:r>
      <w:r>
        <w:rPr>
          <w:rFonts w:hint="eastAsia" w:ascii="仿宋_GB2312" w:eastAsia="仿宋_GB2312" w:cs="仿宋"/>
          <w:color w:val="FF0000"/>
          <w:sz w:val="32"/>
          <w:szCs w:val="32"/>
        </w:rPr>
        <w:t xml:space="preserve"> </w:t>
      </w:r>
      <w:r>
        <w:rPr>
          <w:rFonts w:hint="eastAsia" w:ascii="仿宋_GB2312" w:eastAsia="仿宋_GB2312" w:cs="仿宋"/>
          <w:sz w:val="32"/>
          <w:szCs w:val="32"/>
        </w:rPr>
        <w:t>本办法所需资金来源于区产业发展资金，按照区产业发展资金管理规定进行管理和使用。</w:t>
      </w:r>
    </w:p>
    <w:p>
      <w:pPr>
        <w:widowControl/>
        <w:shd w:val="clear" w:color="auto" w:fill="FFFFFF"/>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cs="宋体"/>
          <w:kern w:val="0"/>
          <w:sz w:val="32"/>
          <w:szCs w:val="32"/>
        </w:rPr>
        <w:t>区工业和信息化局是本办法的实施部门，</w:t>
      </w:r>
      <w:r>
        <w:rPr>
          <w:rFonts w:hint="eastAsia" w:ascii="仿宋_GB2312" w:hAnsi="仿宋" w:eastAsia="仿宋_GB2312"/>
          <w:sz w:val="32"/>
          <w:szCs w:val="32"/>
        </w:rPr>
        <w:t>依照本办法制定和公布项目申报指南，负责受理扶持项目的申请。</w:t>
      </w:r>
    </w:p>
    <w:p>
      <w:pPr>
        <w:overflowPunct w:val="0"/>
        <w:autoSpaceDE w:val="0"/>
        <w:autoSpaceDN w:val="0"/>
        <w:adjustRightInd w:val="0"/>
        <w:snapToGrid w:val="0"/>
        <w:spacing w:line="560" w:lineRule="exact"/>
        <w:ind w:firstLine="640" w:firstLineChars="200"/>
        <w:jc w:val="center"/>
        <w:rPr>
          <w:rFonts w:ascii="黑体" w:hAnsi="宋体" w:eastAsia="黑体" w:cs="黑体"/>
          <w:sz w:val="32"/>
          <w:szCs w:val="32"/>
        </w:rPr>
      </w:pPr>
    </w:p>
    <w:p>
      <w:pPr>
        <w:overflowPunct w:val="0"/>
        <w:autoSpaceDE w:val="0"/>
        <w:autoSpaceDN w:val="0"/>
        <w:adjustRightInd w:val="0"/>
        <w:snapToGrid w:val="0"/>
        <w:spacing w:afterLines="50" w:line="560" w:lineRule="exact"/>
        <w:ind w:firstLine="640" w:firstLineChars="200"/>
        <w:jc w:val="center"/>
        <w:rPr>
          <w:rFonts w:ascii="黑体" w:hAnsi="宋体" w:eastAsia="黑体" w:cs="黑体"/>
          <w:sz w:val="32"/>
          <w:szCs w:val="32"/>
        </w:rPr>
      </w:pPr>
      <w:r>
        <w:rPr>
          <w:rFonts w:hint="eastAsia" w:ascii="黑体" w:hAnsi="宋体" w:eastAsia="黑体" w:cs="黑体"/>
          <w:sz w:val="32"/>
          <w:szCs w:val="32"/>
        </w:rPr>
        <w:t>第二章 促进航运物流业转型</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第四条 </w:t>
      </w:r>
      <w:r>
        <w:rPr>
          <w:rFonts w:hint="eastAsia" w:ascii="仿宋_GB2312" w:eastAsia="仿宋_GB2312" w:cs="仿宋_GB2312"/>
          <w:kern w:val="0"/>
          <w:sz w:val="32"/>
          <w:szCs w:val="32"/>
        </w:rPr>
        <w:t>鼓励船公司开辟外贸新航线。对在盐田港区挂靠的船公司，上一年度每新增一条外贸航线且年度吞吐量超过一万标准箱，按以下情形给予扶持：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（一）注册在盐田区的，扶持五百万元；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（二）注册地不在盐田区，但分支机构或主要办公场所在盐田区的，扶持三百万元；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（三）注册地不在盐田区，且分支机构或主要办公场所不在盐田区的，扶持一百五十万元；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（四）两家以上船公司共享同一新增外贸航线的，总计扶持一百五十万元，并按集装箱吞吐量比例确定各家船公司扶持金额。</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第五条 </w:t>
      </w:r>
      <w:r>
        <w:rPr>
          <w:rFonts w:hint="eastAsia" w:ascii="仿宋_GB2312" w:eastAsia="仿宋_GB2312" w:cs="仿宋_GB2312"/>
          <w:kern w:val="0"/>
          <w:sz w:val="32"/>
          <w:szCs w:val="32"/>
        </w:rPr>
        <w:t>鼓励航运服务业聚集发展。对上一年度在盐田区设立或迁入的，实际开展船舶融资租赁、运费期货交易、航运保险等业务一年以上且年营业收入一千万元以上的企业给予一次性一百万元扶持，自首次申请年度起连续三年按照其区级财力贡献的百分之百、百分之八十、百分之五十分别给予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支持航运配套服务企业发展。对上一年度在盐田区设立或迁入的，实际开展船舶检验、船舶管理、船舶交易、货船运输、船舶燃料供应、海洋工程、船舶代理、海事法律、海员培训和外派等业务一年以上且年营业收入一千万元以上的企业或机构给予一次性五十万元扶持，自首次申请年度起连续三年按照其区级财力贡献的百分之三十给予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第六条 </w:t>
      </w:r>
      <w:r>
        <w:rPr>
          <w:rFonts w:hint="eastAsia" w:ascii="仿宋_GB2312" w:eastAsia="仿宋_GB2312" w:cs="仿宋_GB2312"/>
          <w:kern w:val="0"/>
          <w:sz w:val="32"/>
          <w:szCs w:val="32"/>
        </w:rPr>
        <w:t>支持发展水水联运。对在盐田港区从事驳船运输且上一年度集装箱吞吐量五千标准箱以上的企业，上一年度完成吞吐量较前一年增长部分按十五元/标准箱给予扶持，单个企业每年扶持金额不超过一百万元。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第七条 </w:t>
      </w:r>
      <w:r>
        <w:rPr>
          <w:rFonts w:hint="eastAsia" w:ascii="仿宋_GB2312" w:eastAsia="仿宋_GB2312" w:cs="仿宋_GB2312"/>
          <w:kern w:val="0"/>
          <w:sz w:val="32"/>
          <w:szCs w:val="32"/>
        </w:rPr>
        <w:t>支持辖区海铁联运企业在省内外货源集散地建设内陆港。对上一年度挂牌且年吞吐量一万标准箱以上的内陆港，每个内陆港给予海铁联运企业一百万元的一次性扶持。对海铁联运企业上一年度运量达十五万标准箱的，上一年度完成运量比前一年增长部分，按五十元/标准箱给予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第八条</w:t>
      </w:r>
      <w:r>
        <w:rPr>
          <w:rFonts w:hint="eastAsia" w:ascii="仿宋_GB2312" w:eastAsia="仿宋_GB2312" w:cs="仿宋_GB2312"/>
          <w:kern w:val="0"/>
          <w:sz w:val="32"/>
          <w:szCs w:val="32"/>
        </w:rPr>
        <w:t xml:space="preserve"> 鼓励集装箱堆场外迁。对上一年度在盐田区以外投资（投资股份占比超百分之五十以上）设立集装箱堆场的辖区企业，集装箱堆场面积一万平方米以上、实际运营一年以上、空箱年作业量超过五千标准箱且服务于</w:t>
      </w:r>
      <w:r>
        <w:rPr>
          <w:rFonts w:ascii="仿宋_GB2312" w:eastAsia="仿宋_GB2312" w:cs="仿宋_GB2312"/>
          <w:kern w:val="0"/>
          <w:sz w:val="32"/>
          <w:szCs w:val="32"/>
        </w:rPr>
        <w:t>盐田港</w:t>
      </w:r>
      <w:r>
        <w:rPr>
          <w:rFonts w:hint="eastAsia" w:ascii="仿宋_GB2312" w:eastAsia="仿宋_GB2312" w:cs="仿宋_GB2312"/>
          <w:kern w:val="0"/>
          <w:sz w:val="32"/>
          <w:szCs w:val="32"/>
        </w:rPr>
        <w:t>的，按不超过集装箱堆场实际投入的百分之二十给予一次性扶持。单个堆场扶持不超过一百万元。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第九条 </w:t>
      </w:r>
      <w:r>
        <w:rPr>
          <w:rFonts w:hint="eastAsia" w:ascii="仿宋_GB2312" w:eastAsia="仿宋_GB2312" w:cs="仿宋_GB2312"/>
          <w:kern w:val="0"/>
          <w:sz w:val="32"/>
          <w:szCs w:val="32"/>
        </w:rPr>
        <w:t>鼓励辖区企业利用自有用地或空间建设、改造符合海关监管要求、满足货物查验需求的基础设施平台。企业在上一年度已在区政府备案，并对项目基础设施建设、监管设备等实际投入，按不超过企业实际投入的百分之二十五给予一次性扶持。单个项目扶持不超过五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第十条 </w:t>
      </w:r>
      <w:r>
        <w:rPr>
          <w:rFonts w:hint="eastAsia" w:ascii="仿宋_GB2312" w:eastAsia="仿宋_GB2312" w:cs="仿宋_GB2312"/>
          <w:kern w:val="0"/>
          <w:sz w:val="32"/>
          <w:szCs w:val="32"/>
        </w:rPr>
        <w:t>鼓励仓储物流企业依托辖区仓库对食品药品、医疗器械、化妆品、汽车等进口商品开展加工、分割、包装、展销等增值业务。对企业上一年度销售额二千万元以上的，自首次申请年度起连续申请三年按该项业务区级财力贡献的百分之二十给予扶持。单个企业每年扶持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第十一条 </w:t>
      </w:r>
      <w:r>
        <w:rPr>
          <w:rFonts w:hint="eastAsia" w:ascii="仿宋_GB2312" w:eastAsia="仿宋_GB2312" w:cs="仿宋_GB2312"/>
          <w:kern w:val="0"/>
          <w:sz w:val="32"/>
          <w:szCs w:val="32"/>
        </w:rPr>
        <w:t>鼓励辖区企业依托自有或租用仓库在盐田综合保税区开展保税维修、保税检测、保税研发等新业务。对租用仓库首次开展上述业务的，按实际使用面积连续三年给予补贴，三年补贴标准分别为二十元/平方米/月、十五元/平方米/月、十元/平方米/月，补贴金额不超过实际租金金额；对依托自有仓库首次开展上述业务的，按业务相关设备投资额的百分之二十给予一次性扶持。单个企业每年扶持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第十二条 </w:t>
      </w:r>
      <w:r>
        <w:rPr>
          <w:rFonts w:hint="eastAsia" w:ascii="仿宋_GB2312" w:eastAsia="仿宋_GB2312" w:cs="仿宋_GB2312"/>
          <w:kern w:val="0"/>
          <w:sz w:val="32"/>
          <w:szCs w:val="32"/>
        </w:rPr>
        <w:t>鼓励跨境电商平台企业发展。对在盐田开展跨境电商业务的平台企业，上一年度跨境电商进出口额首次超过一亿美元或自营商品销售额超过一千万美元的，给予一百万元的一次性扶持。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kern w:val="0"/>
          <w:sz w:val="32"/>
          <w:szCs w:val="32"/>
        </w:rPr>
        <w:t>鼓励企业开展跨境电商配套业务。对在盐田综合保税区内开展跨境电商配套业务的企业给予连续三年仓储补贴。三年补贴金额分别为二十元/平方米/月、十五元/平方米/月、十元/平方米/月。补贴金额不超过实际租金金额，且</w:t>
      </w:r>
      <w:r>
        <w:rPr>
          <w:rFonts w:hint="eastAsia" w:ascii="仿宋_GB2312" w:eastAsia="仿宋_GB2312" w:cs="仿宋_GB2312"/>
          <w:kern w:val="0"/>
          <w:sz w:val="32"/>
          <w:szCs w:val="32"/>
        </w:rPr>
        <w:t>单个企业每年扶持金额不超过一百万元。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第十三条 </w:t>
      </w:r>
      <w:r>
        <w:rPr>
          <w:rFonts w:hint="eastAsia" w:ascii="仿宋_GB2312" w:eastAsia="仿宋_GB2312" w:cs="仿宋_GB2312"/>
          <w:kern w:val="0"/>
          <w:sz w:val="32"/>
          <w:szCs w:val="32"/>
        </w:rPr>
        <w:t>鼓励企业开展物流及配套环节的升级改造项目。辖区企业上一年度在物流环节进行硬件设备智能化改造提升效率或通过优化技术提高安全生产水平，投资总额五十万元以上的项目，按不超过项目实际投入的百分之二十给予扶持。单个项目最高不超过三百万元。</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第十四条 </w:t>
      </w:r>
      <w:r>
        <w:rPr>
          <w:rFonts w:hint="eastAsia" w:ascii="仿宋_GB2312" w:eastAsia="仿宋_GB2312" w:cs="仿宋_GB2312"/>
          <w:kern w:val="0"/>
          <w:sz w:val="32"/>
          <w:szCs w:val="32"/>
        </w:rPr>
        <w:t>鼓励辖区物流企业开展A级物流企业认证和AEO高级认证。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一）按照《物流企业分类与评估指标》（中华人民共和国国家标准GB/T19680—2005）新获得中国物流与采购联合会评估认证为“AAAA”“AAAAA”级且从未获得资助的物流企业分别给予三十万元、五十万元扶持。已享受过认证资助的企业，复审通过的给予十万元一次性扶持，认证升级的按差额给予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（二）鼓励物流企业开展AEO海关高级认证。对2018年5月1日之后获得深圳海关认定为AEO高级认证的企业，给予三十万元一次性扶持。</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p>
    <w:p>
      <w:pPr>
        <w:overflowPunct w:val="0"/>
        <w:autoSpaceDE w:val="0"/>
        <w:autoSpaceDN w:val="0"/>
        <w:adjustRightInd w:val="0"/>
        <w:snapToGrid w:val="0"/>
        <w:spacing w:afterLines="50" w:line="560" w:lineRule="exact"/>
        <w:jc w:val="center"/>
        <w:rPr>
          <w:rFonts w:ascii="黑体" w:hAnsi="宋体" w:eastAsia="黑体" w:cs="黑体"/>
          <w:sz w:val="32"/>
          <w:szCs w:val="32"/>
        </w:rPr>
      </w:pPr>
      <w:r>
        <w:rPr>
          <w:rFonts w:hint="eastAsia" w:ascii="黑体" w:hAnsi="宋体" w:eastAsia="黑体" w:cs="黑体"/>
          <w:sz w:val="32"/>
          <w:szCs w:val="32"/>
        </w:rPr>
        <w:t>第三章 提升制造业发展质量</w:t>
      </w:r>
    </w:p>
    <w:p>
      <w:pPr>
        <w:overflowPunct w:val="0"/>
        <w:autoSpaceDE w:val="0"/>
        <w:autoSpaceDN w:val="0"/>
        <w:adjustRightInd w:val="0"/>
        <w:snapToGrid w:val="0"/>
        <w:spacing w:line="560" w:lineRule="exact"/>
        <w:ind w:firstLine="640" w:firstLineChars="200"/>
        <w:rPr>
          <w:rFonts w:ascii="仿宋_GB2312" w:eastAsia="仿宋_GB2312" w:cs="仿宋_GB2312"/>
          <w:sz w:val="32"/>
          <w:szCs w:val="32"/>
        </w:rPr>
      </w:pPr>
      <w:r>
        <w:rPr>
          <w:rFonts w:hint="eastAsia" w:ascii="黑体" w:hAnsi="宋体" w:eastAsia="黑体" w:cs="黑体"/>
          <w:color w:val="000000"/>
          <w:kern w:val="0"/>
          <w:sz w:val="32"/>
          <w:szCs w:val="32"/>
        </w:rPr>
        <w:t xml:space="preserve">第十五条 </w:t>
      </w:r>
      <w:r>
        <w:rPr>
          <w:rFonts w:hint="eastAsia" w:ascii="仿宋_GB2312" w:eastAsia="仿宋_GB2312" w:cs="仿宋_GB2312"/>
          <w:color w:val="000000"/>
          <w:kern w:val="0"/>
          <w:sz w:val="32"/>
          <w:szCs w:val="32"/>
        </w:rPr>
        <w:t>支持</w:t>
      </w:r>
      <w:r>
        <w:rPr>
          <w:rFonts w:hint="eastAsia" w:ascii="仿宋_GB2312" w:eastAsia="仿宋_GB2312" w:cs="仿宋_GB2312"/>
          <w:sz w:val="32"/>
          <w:szCs w:val="32"/>
        </w:rPr>
        <w:t>工业增加值增速达标企业。对我区规模以上工业企业，上一年度工业增加值增速达到百分之十、百分之十五、百分之二十的，分别按照上一年度新增工业增加值增量部分的百分之三、百分之四、百分之五给予扶持，且扶持金额应满足如下条件：</w:t>
      </w:r>
    </w:p>
    <w:p>
      <w:pPr>
        <w:overflowPunct w:val="0"/>
        <w:autoSpaceDE w:val="0"/>
        <w:autoSpaceDN w:val="0"/>
        <w:adjustRightInd w:val="0"/>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（一）深圳市工业百强企业扶持最高不超过五百万元；</w:t>
      </w:r>
    </w:p>
    <w:p>
      <w:pPr>
        <w:overflowPunct w:val="0"/>
        <w:autoSpaceDE w:val="0"/>
        <w:autoSpaceDN w:val="0"/>
        <w:adjustRightInd w:val="0"/>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（二）上一年度工业总产值十亿元以上的非深圳市工业百强企业，扶持的额度不超过三百万元；</w:t>
      </w:r>
    </w:p>
    <w:p>
      <w:pPr>
        <w:overflowPunct w:val="0"/>
        <w:autoSpaceDE w:val="0"/>
        <w:autoSpaceDN w:val="0"/>
        <w:adjustRightInd w:val="0"/>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（三）上一年度工业总产值不满十亿元的企业，扶持的额度不超过一百万元。</w:t>
      </w:r>
    </w:p>
    <w:p>
      <w:pPr>
        <w:overflowPunct w:val="0"/>
        <w:autoSpaceDE w:val="0"/>
        <w:autoSpaceDN w:val="0"/>
        <w:adjustRightInd w:val="0"/>
        <w:snapToGrid w:val="0"/>
        <w:spacing w:line="560" w:lineRule="exact"/>
        <w:ind w:firstLine="640" w:firstLineChars="200"/>
        <w:rPr>
          <w:rFonts w:ascii="仿宋_GB2312" w:eastAsia="仿宋_GB2312" w:cs="仿宋_GB2312"/>
          <w:color w:val="000000"/>
          <w:kern w:val="0"/>
          <w:sz w:val="32"/>
          <w:szCs w:val="32"/>
        </w:rPr>
      </w:pPr>
      <w:r>
        <w:rPr>
          <w:rFonts w:hint="eastAsia" w:ascii="黑体" w:hAnsi="宋体" w:eastAsia="黑体" w:cs="黑体"/>
          <w:color w:val="000000"/>
          <w:kern w:val="0"/>
          <w:sz w:val="32"/>
          <w:szCs w:val="32"/>
        </w:rPr>
        <w:t xml:space="preserve">第十六条 </w:t>
      </w:r>
      <w:r>
        <w:rPr>
          <w:rFonts w:hint="eastAsia" w:ascii="仿宋_GB2312" w:eastAsia="仿宋_GB2312" w:cs="仿宋_GB2312"/>
          <w:color w:val="000000"/>
          <w:kern w:val="0"/>
          <w:sz w:val="32"/>
          <w:szCs w:val="32"/>
        </w:rPr>
        <w:t>鼓励企业运用新技术、新工艺、新设备、新材料、新模式对生产制造及配套环节进行技术改造。</w:t>
      </w:r>
    </w:p>
    <w:p>
      <w:pPr>
        <w:overflowPunct w:val="0"/>
        <w:autoSpaceDE w:val="0"/>
        <w:autoSpaceDN w:val="0"/>
        <w:adjustRightInd w:val="0"/>
        <w:snapToGrid w:val="0"/>
        <w:spacing w:line="560"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对上一年度项目投资额在五十万元以上的，按照不超过实际完成技术改造投资额的百分之二十给予资金扶持，单个项目最高不超过三百万元。</w:t>
      </w:r>
      <w:r>
        <w:rPr>
          <w:rFonts w:hint="eastAsia" w:ascii="仿宋_GB2312" w:eastAsia="仿宋_GB2312" w:cs="仿宋"/>
          <w:color w:val="000000"/>
          <w:kern w:val="0"/>
          <w:sz w:val="32"/>
          <w:szCs w:val="32"/>
        </w:rPr>
        <w:t>其中</w:t>
      </w:r>
      <w:r>
        <w:rPr>
          <w:rFonts w:hint="eastAsia" w:ascii="仿宋_GB2312" w:eastAsia="仿宋_GB2312" w:cs="仿宋_GB2312"/>
          <w:color w:val="000000"/>
          <w:kern w:val="0"/>
          <w:sz w:val="32"/>
          <w:szCs w:val="32"/>
        </w:rPr>
        <w:t>智能化部分可以叠加享受资助，按照不超过智能化部分实际投资额的百分之三十给予资金扶持，单个项目最高不超过三百万元。</w:t>
      </w:r>
    </w:p>
    <w:p>
      <w:pPr>
        <w:overflowPunct w:val="0"/>
        <w:autoSpaceDE w:val="0"/>
        <w:autoSpaceDN w:val="0"/>
        <w:adjustRightInd w:val="0"/>
        <w:snapToGrid w:val="0"/>
        <w:spacing w:line="560" w:lineRule="exact"/>
        <w:ind w:firstLine="640" w:firstLineChars="200"/>
        <w:rPr>
          <w:rFonts w:ascii="仿宋_GB2312" w:eastAsia="仿宋_GB2312" w:cs="仿宋"/>
          <w:color w:val="000000"/>
          <w:kern w:val="0"/>
          <w:sz w:val="32"/>
          <w:szCs w:val="32"/>
        </w:rPr>
      </w:pPr>
      <w:r>
        <w:rPr>
          <w:rFonts w:hint="eastAsia" w:ascii="黑体" w:hAnsi="宋体" w:eastAsia="黑体" w:cs="黑体"/>
          <w:sz w:val="32"/>
          <w:szCs w:val="32"/>
        </w:rPr>
        <w:t xml:space="preserve">第十七条 </w:t>
      </w:r>
      <w:r>
        <w:rPr>
          <w:rFonts w:hint="eastAsia" w:ascii="仿宋_GB2312" w:eastAsia="仿宋_GB2312" w:cs="仿宋"/>
          <w:color w:val="000000"/>
          <w:kern w:val="0"/>
          <w:sz w:val="32"/>
          <w:szCs w:val="32"/>
        </w:rPr>
        <w:t>鼓励企业创建技术中心。对2019年以来被认定为国家级和市级企业技术中心，分别给予五百万元、三百万元的扶持，对已获得资助后被评为更高级别的技术中心项目，按相应扶持的标准追加差额扶持。</w:t>
      </w:r>
    </w:p>
    <w:p>
      <w:pPr>
        <w:overflowPunct w:val="0"/>
        <w:autoSpaceDE w:val="0"/>
        <w:autoSpaceDN w:val="0"/>
        <w:adjustRightInd w:val="0"/>
        <w:snapToGrid w:val="0"/>
        <w:spacing w:line="560" w:lineRule="exact"/>
        <w:ind w:firstLine="640" w:firstLineChars="200"/>
        <w:rPr>
          <w:rFonts w:ascii="仿宋_GB2312" w:eastAsia="仿宋_GB2312" w:cs="仿宋"/>
          <w:kern w:val="0"/>
          <w:sz w:val="32"/>
          <w:szCs w:val="32"/>
        </w:rPr>
      </w:pPr>
      <w:r>
        <w:rPr>
          <w:rFonts w:hint="eastAsia" w:ascii="黑体" w:hAnsi="宋体" w:eastAsia="黑体" w:cs="黑体"/>
          <w:kern w:val="0"/>
          <w:sz w:val="32"/>
          <w:szCs w:val="32"/>
        </w:rPr>
        <w:t xml:space="preserve">第十八条 </w:t>
      </w:r>
      <w:r>
        <w:rPr>
          <w:rFonts w:hint="eastAsia" w:ascii="仿宋_GB2312" w:eastAsia="仿宋_GB2312" w:cs="仿宋"/>
          <w:kern w:val="0"/>
          <w:sz w:val="32"/>
          <w:szCs w:val="32"/>
        </w:rPr>
        <w:t>鼓励国家级检测中心或鉴定机构入驻盐田区，并开展对外检测服务业务。在盐田区设立总部的，给予一百万元的一次性扶持；在盐田区设立分中心的，给予三十万元的一次性扶持。</w:t>
      </w:r>
    </w:p>
    <w:p>
      <w:pPr>
        <w:overflowPunct w:val="0"/>
        <w:autoSpaceDE w:val="0"/>
        <w:autoSpaceDN w:val="0"/>
        <w:adjustRightInd w:val="0"/>
        <w:snapToGrid w:val="0"/>
        <w:spacing w:line="560" w:lineRule="exact"/>
        <w:ind w:firstLine="640" w:firstLineChars="200"/>
        <w:rPr>
          <w:rFonts w:ascii="仿宋_GB2312" w:eastAsia="仿宋_GB2312" w:cs="仿宋_GB2312"/>
          <w:color w:val="000000"/>
          <w:kern w:val="0"/>
          <w:sz w:val="32"/>
          <w:szCs w:val="32"/>
        </w:rPr>
      </w:pPr>
      <w:r>
        <w:rPr>
          <w:rFonts w:hint="eastAsia" w:ascii="黑体" w:hAnsi="宋体" w:eastAsia="黑体" w:cs="黑体"/>
          <w:color w:val="000000"/>
          <w:kern w:val="0"/>
          <w:sz w:val="32"/>
          <w:szCs w:val="32"/>
        </w:rPr>
        <w:t xml:space="preserve">第十九条 </w:t>
      </w:r>
      <w:r>
        <w:rPr>
          <w:rFonts w:hint="eastAsia" w:ascii="仿宋_GB2312" w:eastAsia="仿宋_GB2312" w:cs="仿宋_GB2312"/>
          <w:color w:val="000000"/>
          <w:sz w:val="32"/>
          <w:szCs w:val="32"/>
          <w:shd w:val="clear" w:color="auto" w:fill="FFFFFF"/>
        </w:rPr>
        <w:t>鼓励企业参加珠宝创意设计奖项评选活动。</w:t>
      </w:r>
      <w:r>
        <w:rPr>
          <w:rFonts w:hint="eastAsia" w:ascii="仿宋_GB2312" w:eastAsia="仿宋_GB2312" w:cs="仿宋_GB2312"/>
          <w:color w:val="000000"/>
          <w:kern w:val="0"/>
          <w:sz w:val="32"/>
          <w:szCs w:val="32"/>
        </w:rPr>
        <w:t>对</w:t>
      </w:r>
      <w:r>
        <w:rPr>
          <w:rFonts w:hint="eastAsia" w:ascii="仿宋_GB2312" w:eastAsia="仿宋_GB2312" w:cs="仿宋_GB2312"/>
          <w:kern w:val="0"/>
          <w:sz w:val="32"/>
          <w:szCs w:val="32"/>
        </w:rPr>
        <w:t>2019年以来参加</w:t>
      </w:r>
      <w:r>
        <w:rPr>
          <w:rFonts w:hint="eastAsia" w:ascii="仿宋_GB2312" w:eastAsia="仿宋_GB2312" w:cs="仿宋_GB2312"/>
          <w:color w:val="000000"/>
          <w:kern w:val="0"/>
          <w:sz w:val="32"/>
          <w:szCs w:val="32"/>
        </w:rPr>
        <w:t>具有重大影响力的珠宝创意设计大赛并获奖的企业，给予三万元的一次性扶持。同一项目获得多个奖项，不再重复扶持；同一企业同一奖项扶持不超过两次。</w:t>
      </w:r>
    </w:p>
    <w:p>
      <w:pPr>
        <w:overflowPunct w:val="0"/>
        <w:autoSpaceDE w:val="0"/>
        <w:autoSpaceDN w:val="0"/>
        <w:adjustRightInd w:val="0"/>
        <w:snapToGrid w:val="0"/>
        <w:spacing w:line="560" w:lineRule="exact"/>
        <w:ind w:firstLine="640" w:firstLineChars="200"/>
        <w:rPr>
          <w:rFonts w:ascii="仿宋_GB2312" w:eastAsia="仿宋_GB2312" w:cs="仿宋_GB2312"/>
          <w:color w:val="000000"/>
          <w:kern w:val="0"/>
          <w:sz w:val="32"/>
          <w:szCs w:val="32"/>
        </w:rPr>
      </w:pPr>
      <w:r>
        <w:rPr>
          <w:rFonts w:hint="eastAsia" w:ascii="黑体" w:hAnsi="宋体" w:eastAsia="黑体" w:cs="黑体"/>
          <w:color w:val="000000"/>
          <w:kern w:val="0"/>
          <w:sz w:val="32"/>
          <w:szCs w:val="32"/>
        </w:rPr>
        <w:t xml:space="preserve">第二十条 </w:t>
      </w:r>
      <w:r>
        <w:rPr>
          <w:rFonts w:hint="eastAsia" w:ascii="仿宋_GB2312" w:eastAsia="仿宋_GB2312" w:cs="仿宋"/>
          <w:color w:val="000000"/>
          <w:kern w:val="0"/>
          <w:sz w:val="32"/>
          <w:szCs w:val="32"/>
        </w:rPr>
        <w:t>支持辖区企业创造版权成果。</w:t>
      </w:r>
      <w:r>
        <w:rPr>
          <w:rFonts w:hint="eastAsia" w:ascii="仿宋_GB2312" w:eastAsia="仿宋_GB2312" w:cs="仿宋_GB2312"/>
          <w:color w:val="000000"/>
          <w:kern w:val="0"/>
          <w:sz w:val="32"/>
          <w:szCs w:val="32"/>
        </w:rPr>
        <w:t>对</w:t>
      </w:r>
      <w:r>
        <w:rPr>
          <w:rFonts w:hint="eastAsia" w:ascii="仿宋_GB2312" w:eastAsia="仿宋_GB2312" w:cs="仿宋_GB2312"/>
          <w:kern w:val="0"/>
          <w:sz w:val="32"/>
          <w:szCs w:val="32"/>
        </w:rPr>
        <w:t>2019年以来</w:t>
      </w:r>
      <w:r>
        <w:rPr>
          <w:rFonts w:hint="eastAsia" w:ascii="仿宋_GB2312" w:eastAsia="仿宋_GB2312" w:cs="仿宋_GB2312"/>
          <w:color w:val="000000"/>
          <w:kern w:val="0"/>
          <w:sz w:val="32"/>
          <w:szCs w:val="32"/>
        </w:rPr>
        <w:t>获得中国版权保护中心或广东省版权局颁发登记证书的辖区企业，每件证书给予二百元登记费用的扶持,单个企业每年扶持金额不超过二十万元。</w:t>
      </w:r>
    </w:p>
    <w:p>
      <w:pPr>
        <w:overflowPunct w:val="0"/>
        <w:autoSpaceDE w:val="0"/>
        <w:autoSpaceDN w:val="0"/>
        <w:adjustRightInd w:val="0"/>
        <w:snapToGrid w:val="0"/>
        <w:spacing w:line="560" w:lineRule="exact"/>
        <w:ind w:firstLine="640" w:firstLineChars="200"/>
        <w:rPr>
          <w:rFonts w:ascii="仿宋_GB2312" w:eastAsia="仿宋_GB2312" w:cs="仿宋"/>
          <w:color w:val="000000"/>
          <w:kern w:val="0"/>
          <w:sz w:val="32"/>
          <w:szCs w:val="32"/>
        </w:rPr>
      </w:pPr>
      <w:r>
        <w:rPr>
          <w:rFonts w:hint="eastAsia" w:ascii="黑体" w:hAnsi="宋体" w:eastAsia="黑体" w:cs="黑体"/>
          <w:color w:val="000000"/>
          <w:kern w:val="0"/>
          <w:sz w:val="32"/>
          <w:szCs w:val="32"/>
        </w:rPr>
        <w:t xml:space="preserve">第二十一条 </w:t>
      </w:r>
      <w:r>
        <w:rPr>
          <w:rFonts w:hint="eastAsia" w:ascii="仿宋_GB2312" w:eastAsia="仿宋_GB2312" w:cs="仿宋"/>
          <w:color w:val="000000"/>
          <w:kern w:val="0"/>
          <w:sz w:val="32"/>
          <w:szCs w:val="32"/>
        </w:rPr>
        <w:t>鼓励辖区企业进行IP授权、品牌授权等版权交易，提升产品竞争力。</w:t>
      </w:r>
      <w:r>
        <w:rPr>
          <w:rFonts w:hint="eastAsia" w:ascii="仿宋_GB2312" w:eastAsia="仿宋_GB2312" w:cs="仿宋_GB2312"/>
          <w:kern w:val="0"/>
          <w:sz w:val="32"/>
          <w:szCs w:val="32"/>
        </w:rPr>
        <w:t>对上一年度</w:t>
      </w:r>
      <w:r>
        <w:rPr>
          <w:rFonts w:hint="eastAsia" w:ascii="仿宋_GB2312" w:eastAsia="仿宋_GB2312" w:cs="仿宋"/>
          <w:kern w:val="0"/>
          <w:sz w:val="32"/>
          <w:szCs w:val="32"/>
        </w:rPr>
        <w:t>年</w:t>
      </w:r>
      <w:r>
        <w:rPr>
          <w:rFonts w:hint="eastAsia" w:ascii="仿宋_GB2312" w:eastAsia="仿宋_GB2312" w:cs="仿宋"/>
          <w:color w:val="000000"/>
          <w:kern w:val="0"/>
          <w:sz w:val="32"/>
          <w:szCs w:val="32"/>
        </w:rPr>
        <w:t>版权交易支出一百万元以上的，按照支出总额的百分之十给予扶持，最高不超过一百万元。</w:t>
      </w:r>
    </w:p>
    <w:p>
      <w:pPr>
        <w:overflowPunct w:val="0"/>
        <w:autoSpaceDE w:val="0"/>
        <w:autoSpaceDN w:val="0"/>
        <w:adjustRightInd w:val="0"/>
        <w:snapToGrid w:val="0"/>
        <w:spacing w:line="560" w:lineRule="exact"/>
        <w:ind w:firstLine="640" w:firstLineChars="200"/>
        <w:rPr>
          <w:rFonts w:ascii="仿宋_GB2312" w:eastAsia="仿宋_GB2312" w:cs="仿宋"/>
          <w:kern w:val="0"/>
          <w:sz w:val="32"/>
          <w:szCs w:val="32"/>
        </w:rPr>
      </w:pPr>
      <w:r>
        <w:rPr>
          <w:rFonts w:hint="eastAsia" w:ascii="黑体" w:hAnsi="宋体" w:eastAsia="黑体" w:cs="黑体"/>
          <w:kern w:val="0"/>
          <w:sz w:val="32"/>
          <w:szCs w:val="32"/>
        </w:rPr>
        <w:t xml:space="preserve">第二十二条 </w:t>
      </w:r>
      <w:r>
        <w:rPr>
          <w:rFonts w:hint="eastAsia" w:ascii="仿宋_GB2312" w:eastAsia="仿宋_GB2312" w:cs="仿宋_GB2312"/>
          <w:kern w:val="0"/>
          <w:sz w:val="32"/>
          <w:szCs w:val="32"/>
        </w:rPr>
        <w:t>对在2019年以来获得深圳市工业强基项目资助，获得市级工业互联网和两化</w:t>
      </w:r>
      <w:r>
        <w:rPr>
          <w:rFonts w:hint="eastAsia" w:ascii="仿宋_GB2312" w:eastAsia="仿宋_GB2312" w:cs="仿宋"/>
          <w:kern w:val="0"/>
          <w:sz w:val="32"/>
          <w:szCs w:val="32"/>
        </w:rPr>
        <w:t>融合项目资助，获得深圳市工业设计项目扶持的，按照其获得深圳市扶持金额的百分之五十给予扶持。</w:t>
      </w:r>
    </w:p>
    <w:p>
      <w:pPr>
        <w:overflowPunct w:val="0"/>
        <w:autoSpaceDE w:val="0"/>
        <w:autoSpaceDN w:val="0"/>
        <w:adjustRightInd w:val="0"/>
        <w:snapToGrid w:val="0"/>
        <w:spacing w:line="560" w:lineRule="exact"/>
        <w:ind w:firstLine="640" w:firstLineChars="200"/>
        <w:rPr>
          <w:rFonts w:ascii="仿宋_GB2312" w:eastAsia="仿宋_GB2312" w:cs="仿宋"/>
          <w:kern w:val="0"/>
          <w:sz w:val="32"/>
          <w:szCs w:val="32"/>
        </w:rPr>
      </w:pPr>
    </w:p>
    <w:p>
      <w:pPr>
        <w:spacing w:afterLines="50" w:line="560" w:lineRule="exact"/>
        <w:jc w:val="center"/>
        <w:rPr>
          <w:rFonts w:ascii="黑体" w:hAnsi="宋体" w:eastAsia="黑体" w:cs="黑体"/>
          <w:sz w:val="32"/>
          <w:szCs w:val="32"/>
        </w:rPr>
      </w:pPr>
      <w:r>
        <w:rPr>
          <w:rFonts w:hint="eastAsia" w:ascii="黑体" w:hAnsi="宋体" w:eastAsia="黑体" w:cs="黑体"/>
          <w:sz w:val="32"/>
          <w:szCs w:val="32"/>
        </w:rPr>
        <w:t>第四章 促进金融更好服务实体经济</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第二十三条 </w:t>
      </w:r>
      <w:r>
        <w:rPr>
          <w:rFonts w:hint="eastAsia" w:ascii="仿宋_GB2312" w:eastAsia="仿宋_GB2312"/>
          <w:color w:val="000000"/>
          <w:kern w:val="0"/>
          <w:sz w:val="32"/>
          <w:szCs w:val="32"/>
        </w:rPr>
        <w:t>企业贷款贴息贴保资助。</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（一）</w:t>
      </w:r>
      <w:r>
        <w:rPr>
          <w:rFonts w:hint="eastAsia" w:ascii="仿宋_GB2312" w:eastAsia="仿宋_GB2312" w:cs="仿宋"/>
          <w:kern w:val="0"/>
          <w:sz w:val="32"/>
          <w:szCs w:val="32"/>
        </w:rPr>
        <w:t>对符合产业导向的辖区中小微企业从合作银行机构所获得的单笔一百五十万元以上的1—3年期信用贷款，在贷款期满并按期还款后，按企业实际支付贷款利息的百分之四十给予扶持。单个企业每年扶持</w:t>
      </w:r>
      <w:r>
        <w:rPr>
          <w:rFonts w:hint="eastAsia" w:ascii="仿宋_GB2312" w:eastAsia="仿宋_GB2312"/>
          <w:color w:val="000000"/>
          <w:kern w:val="0"/>
          <w:sz w:val="32"/>
          <w:szCs w:val="32"/>
        </w:rPr>
        <w:t>不超过一百万元;</w:t>
      </w:r>
    </w:p>
    <w:p>
      <w:pPr>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（二）对符合产业导向</w:t>
      </w:r>
      <w:r>
        <w:rPr>
          <w:rFonts w:hint="eastAsia" w:ascii="仿宋_GB2312" w:eastAsia="仿宋_GB2312" w:cs="仿宋"/>
          <w:kern w:val="0"/>
          <w:sz w:val="32"/>
          <w:szCs w:val="32"/>
        </w:rPr>
        <w:t>的辖区中小微企业通过融资担保机构担保方式获得的单笔一百五十万元以上的1—3年期担保贷款，在贷款期满并按期还款后</w:t>
      </w:r>
      <w:r>
        <w:rPr>
          <w:rFonts w:hint="eastAsia" w:ascii="仿宋_GB2312" w:eastAsia="仿宋_GB2312"/>
          <w:color w:val="000000"/>
          <w:kern w:val="0"/>
          <w:sz w:val="32"/>
          <w:szCs w:val="32"/>
        </w:rPr>
        <w:t>，按照实际发生担保费的百分之五十给予扶持。</w:t>
      </w:r>
      <w:r>
        <w:rPr>
          <w:rFonts w:hint="eastAsia" w:ascii="仿宋_GB2312" w:eastAsia="仿宋_GB2312" w:cs="仿宋"/>
          <w:kern w:val="0"/>
          <w:sz w:val="32"/>
          <w:szCs w:val="32"/>
        </w:rPr>
        <w:t>单个企业每年扶持</w:t>
      </w:r>
      <w:r>
        <w:rPr>
          <w:rFonts w:hint="eastAsia" w:ascii="仿宋_GB2312" w:eastAsia="仿宋_GB2312"/>
          <w:color w:val="000000"/>
          <w:kern w:val="0"/>
          <w:sz w:val="32"/>
          <w:szCs w:val="32"/>
        </w:rPr>
        <w:t>不超过一百万元。</w:t>
      </w:r>
    </w:p>
    <w:p>
      <w:pPr>
        <w:spacing w:line="560" w:lineRule="exact"/>
        <w:ind w:firstLine="640" w:firstLineChars="200"/>
        <w:rPr>
          <w:rFonts w:ascii="仿宋_GB2312" w:eastAsia="仿宋_GB2312" w:cs="仿宋"/>
          <w:kern w:val="0"/>
          <w:sz w:val="32"/>
          <w:szCs w:val="32"/>
        </w:rPr>
      </w:pPr>
      <w:r>
        <w:rPr>
          <w:rFonts w:hint="eastAsia" w:ascii="仿宋_GB2312" w:eastAsia="仿宋_GB2312" w:cs="仿宋"/>
          <w:kern w:val="0"/>
          <w:sz w:val="32"/>
          <w:szCs w:val="32"/>
        </w:rPr>
        <w:t>对企业和金融机构在《盐田区企业融资环境提升计划实施方案（试行）》（深盐府办函〔2017〕24号）有效期内已按原要求备案的，并符合原相关规定的，可继续按原标准申请扶持。</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第二十四条 </w:t>
      </w:r>
      <w:r>
        <w:rPr>
          <w:rFonts w:hint="eastAsia" w:ascii="仿宋_GB2312" w:eastAsia="仿宋_GB2312" w:cs="仿宋"/>
          <w:kern w:val="0"/>
          <w:sz w:val="32"/>
          <w:szCs w:val="32"/>
        </w:rPr>
        <w:t>金融机构坏账损失补偿。对合作银行机构为辖区企业开展绿色信贷业务、无还本续贷贷款业务、应收账款和存货质押贷款业务而发生坏账损失的，按照实际坏账损失的百分之二十给予扶持。获得资助的合作银行机构以该机构的深圳市级分行或经深圳市级分行指定的盐田区支行为申请主体，每家银行机构每年扶持</w:t>
      </w:r>
      <w:r>
        <w:rPr>
          <w:rFonts w:hint="eastAsia" w:ascii="仿宋_GB2312" w:eastAsia="仿宋_GB2312"/>
          <w:color w:val="000000"/>
          <w:kern w:val="0"/>
          <w:sz w:val="32"/>
          <w:szCs w:val="32"/>
        </w:rPr>
        <w:t>不超过一百万元。</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第二十五条 </w:t>
      </w:r>
      <w:r>
        <w:rPr>
          <w:rFonts w:hint="eastAsia" w:ascii="仿宋_GB2312" w:eastAsia="仿宋_GB2312"/>
          <w:color w:val="000000"/>
          <w:kern w:val="0"/>
          <w:sz w:val="32"/>
          <w:szCs w:val="32"/>
        </w:rPr>
        <w:t>鼓励融资担保机构的融资担保服务。对于上一年度合作融资担保机构向</w:t>
      </w:r>
      <w:r>
        <w:rPr>
          <w:rFonts w:hint="eastAsia" w:ascii="仿宋_GB2312" w:eastAsia="仿宋_GB2312"/>
          <w:kern w:val="0"/>
          <w:sz w:val="32"/>
          <w:szCs w:val="32"/>
        </w:rPr>
        <w:t>辖区企业单笔贷</w:t>
      </w:r>
      <w:r>
        <w:rPr>
          <w:rFonts w:hint="eastAsia" w:ascii="仿宋_GB2312" w:eastAsia="仿宋_GB2312"/>
          <w:color w:val="000000"/>
          <w:kern w:val="0"/>
          <w:sz w:val="32"/>
          <w:szCs w:val="32"/>
        </w:rPr>
        <w:t>款收取担保费率不超过百分之一点五的贷款担保业务，按照上述担保业务年度实际发生贷款总额的千分之一点五给予扶持。</w:t>
      </w:r>
      <w:r>
        <w:rPr>
          <w:rFonts w:hint="eastAsia" w:ascii="仿宋_GB2312" w:eastAsia="仿宋_GB2312" w:cs="仿宋"/>
          <w:kern w:val="0"/>
          <w:sz w:val="32"/>
          <w:szCs w:val="32"/>
        </w:rPr>
        <w:t>获得资助的合作融资担保机构不受注册登记地限制，每家机构每年扶持</w:t>
      </w:r>
      <w:r>
        <w:rPr>
          <w:rFonts w:hint="eastAsia" w:ascii="仿宋_GB2312" w:eastAsia="仿宋_GB2312"/>
          <w:color w:val="000000"/>
          <w:kern w:val="0"/>
          <w:sz w:val="32"/>
          <w:szCs w:val="32"/>
        </w:rPr>
        <w:t>不超过一百万元</w:t>
      </w:r>
      <w:r>
        <w:rPr>
          <w:rFonts w:hint="eastAsia" w:ascii="仿宋_GB2312" w:eastAsia="仿宋_GB2312" w:cs="仿宋"/>
          <w:kern w:val="0"/>
          <w:sz w:val="32"/>
          <w:szCs w:val="32"/>
        </w:rPr>
        <w:t>。</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第二十六条 </w:t>
      </w:r>
      <w:r>
        <w:rPr>
          <w:rFonts w:hint="eastAsia" w:ascii="仿宋_GB2312" w:eastAsia="仿宋_GB2312"/>
          <w:color w:val="000000"/>
          <w:kern w:val="0"/>
          <w:sz w:val="32"/>
          <w:szCs w:val="32"/>
        </w:rPr>
        <w:t>支持企业发行债券。已成功完成债券类型融资的项目，按其发行规模的百分之一，给予单个企业年度最高不超过一百万元的扶持。</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第二十七条 </w:t>
      </w:r>
      <w:r>
        <w:rPr>
          <w:rFonts w:hint="eastAsia" w:ascii="仿宋_GB2312" w:eastAsia="仿宋_GB2312"/>
          <w:color w:val="000000"/>
          <w:kern w:val="0"/>
          <w:sz w:val="32"/>
          <w:szCs w:val="32"/>
        </w:rPr>
        <w:t>企业上市资助。对计划在境内证券交易所上市的企业，在市上市办进行了备案登记并已聘请中介机构完成股份制改造的，扶持五十万元；已完成上市辅导并已交纳上市辅导相关费用的企业，扶持一百万元；成功上市的企业，扶持三百五十万元。对2020年1月1日后在境外主要证券交易所成功上市的企业，给予一次性三百五十万元扶持。单个企业获得的上市扶持最高不超过五百万元，对在多个证券市场上市的企业不重复扶持。</w:t>
      </w:r>
    </w:p>
    <w:p>
      <w:pPr>
        <w:spacing w:line="560" w:lineRule="exact"/>
        <w:ind w:firstLine="640" w:firstLineChars="200"/>
        <w:rPr>
          <w:rFonts w:ascii="仿宋_GB2312" w:eastAsia="仿宋_GB2312"/>
          <w:color w:val="0000FF"/>
          <w:kern w:val="0"/>
          <w:sz w:val="32"/>
          <w:szCs w:val="32"/>
        </w:rPr>
      </w:pPr>
      <w:r>
        <w:rPr>
          <w:rFonts w:hint="eastAsia" w:ascii="黑体" w:hAnsi="宋体" w:eastAsia="黑体" w:cs="黑体"/>
          <w:color w:val="000000"/>
          <w:kern w:val="0"/>
          <w:sz w:val="32"/>
          <w:szCs w:val="32"/>
        </w:rPr>
        <w:t xml:space="preserve">第二十八条 </w:t>
      </w:r>
      <w:r>
        <w:rPr>
          <w:rFonts w:hint="eastAsia" w:ascii="仿宋_GB2312" w:eastAsia="仿宋_GB2312"/>
          <w:color w:val="000000"/>
          <w:kern w:val="0"/>
          <w:sz w:val="32"/>
          <w:szCs w:val="32"/>
        </w:rPr>
        <w:t>鼓励提供各类供应链金融产品和服务。对上一年度实际开展供应链金融业务一年以上且供应链金融业务规模一千万元以上的</w:t>
      </w:r>
      <w:r>
        <w:rPr>
          <w:rFonts w:hint="eastAsia" w:ascii="仿宋_GB2312" w:eastAsia="仿宋_GB2312"/>
          <w:kern w:val="0"/>
          <w:sz w:val="32"/>
          <w:szCs w:val="32"/>
        </w:rPr>
        <w:t>供应链金融机构，在实收资本首次达到五千万元、一亿元、二亿元、五亿元时分别给予五十万元扶持。</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第二十九条 </w:t>
      </w:r>
      <w:r>
        <w:rPr>
          <w:rFonts w:hint="eastAsia" w:ascii="仿宋_GB2312" w:eastAsia="仿宋_GB2312"/>
          <w:color w:val="000000"/>
          <w:kern w:val="0"/>
          <w:sz w:val="32"/>
          <w:szCs w:val="32"/>
        </w:rPr>
        <w:t>鼓励商业银行、核心企业和供应链配套服务机构在盐田区运营供应链金融服务平台。相关平台的运营主体在盐田区注册、实际办公的，当通过平台服务获得供应链金融贷款的企业首次达到二十家及以上且贷款规模达到五千万元及以上的，给予平台运营主体一百万元的一次性扶持。</w:t>
      </w:r>
    </w:p>
    <w:p>
      <w:pPr>
        <w:spacing w:line="560" w:lineRule="exact"/>
        <w:ind w:firstLine="640" w:firstLineChars="200"/>
        <w:rPr>
          <w:rFonts w:ascii="仿宋_GB2312" w:eastAsia="仿宋_GB2312"/>
          <w:color w:val="000000"/>
          <w:kern w:val="0"/>
          <w:sz w:val="32"/>
          <w:szCs w:val="32"/>
        </w:rPr>
      </w:pPr>
      <w:r>
        <w:rPr>
          <w:rFonts w:hint="eastAsia" w:ascii="黑体" w:hAnsi="宋体" w:eastAsia="黑体" w:cs="黑体"/>
          <w:color w:val="000000"/>
          <w:kern w:val="0"/>
          <w:sz w:val="32"/>
          <w:szCs w:val="32"/>
        </w:rPr>
        <w:t xml:space="preserve">第三十条 </w:t>
      </w:r>
      <w:r>
        <w:rPr>
          <w:rFonts w:hint="eastAsia" w:ascii="仿宋_GB2312" w:eastAsia="仿宋_GB2312"/>
          <w:color w:val="000000"/>
          <w:kern w:val="0"/>
          <w:sz w:val="32"/>
          <w:szCs w:val="32"/>
        </w:rPr>
        <w:t>特色金融企业融资服务资助。对上一年度小额贷款、融资租赁等特色金融企业为区内企业提供融资服务且年度融资金额达到一千万元以上的，按每年度为区内企业融资金额的千分之五给予特色金融企业扶持，单个企业每年扶持不超过一百万元。</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p>
    <w:p>
      <w:pPr>
        <w:overflowPunct w:val="0"/>
        <w:autoSpaceDE w:val="0"/>
        <w:autoSpaceDN w:val="0"/>
        <w:adjustRightInd w:val="0"/>
        <w:snapToGrid w:val="0"/>
        <w:spacing w:afterLines="50" w:line="560" w:lineRule="exact"/>
        <w:ind w:firstLine="640" w:firstLineChars="200"/>
        <w:jc w:val="center"/>
        <w:rPr>
          <w:rFonts w:ascii="仿宋_GB2312" w:hAnsi="宋体" w:eastAsia="仿宋_GB2312" w:cs="仿宋_GB2312"/>
          <w:kern w:val="0"/>
          <w:sz w:val="32"/>
          <w:szCs w:val="32"/>
        </w:rPr>
      </w:pPr>
      <w:r>
        <w:rPr>
          <w:rFonts w:hint="eastAsia" w:ascii="黑体" w:hAnsi="宋体" w:eastAsia="黑体" w:cs="黑体"/>
          <w:kern w:val="0"/>
          <w:sz w:val="32"/>
          <w:szCs w:val="32"/>
        </w:rPr>
        <w:t>第五章 激发商贸业发展活力</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黑体" w:hAnsi="宋体" w:eastAsia="黑体" w:cs="黑体"/>
          <w:kern w:val="0"/>
          <w:sz w:val="32"/>
          <w:szCs w:val="32"/>
        </w:rPr>
        <w:t xml:space="preserve">第三十一条  </w:t>
      </w:r>
      <w:r>
        <w:rPr>
          <w:rFonts w:hint="eastAsia" w:ascii="仿宋_GB2312" w:eastAsia="仿宋_GB2312"/>
          <w:kern w:val="0"/>
          <w:sz w:val="32"/>
          <w:szCs w:val="32"/>
        </w:rPr>
        <w:t>支持商业企业做大做强。对批发、零售、餐饮企业，根据上一年度销售额（营业额）、增长率，按照其上一年度区级财政贡献的百分之二十给予最高不超过一百万元的扶持。申请企业需具备以下条件之一：</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（一）上一年度销售额为十亿元以上不满五十亿元且增速达到百分之十及以上，或上年度销售额达到五十亿元以上且为正增长的批发企业；</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（二）上一年度销售额为一亿元以上不满五亿元且增速达到百分之十及以上，或上年度销售额达到五亿元以上且为正增长的零售企业；</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（三）上一年度营业额增速达到百分之十及以上的纳统餐饮企业。</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黑体" w:hAnsi="宋体" w:eastAsia="黑体" w:cs="黑体"/>
          <w:kern w:val="0"/>
          <w:sz w:val="32"/>
          <w:szCs w:val="32"/>
        </w:rPr>
        <w:t xml:space="preserve">第三十二条 </w:t>
      </w:r>
      <w:r>
        <w:rPr>
          <w:rFonts w:hint="eastAsia" w:ascii="仿宋_GB2312" w:eastAsia="仿宋_GB2312"/>
          <w:kern w:val="0"/>
          <w:sz w:val="32"/>
          <w:szCs w:val="32"/>
        </w:rPr>
        <w:t>鼓励辖区线下实体经营的企业拓展电子商务市场。上一年度企业自建网络销售平台或依托第三方电子商务平台开通线上销售业务的，对年线上交易额首次达到一亿元、三亿元、十亿元（及以上），分别给予一次性扶持十万元、三十万元、五十万元。</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r>
        <w:rPr>
          <w:rFonts w:hint="eastAsia" w:ascii="黑体" w:hAnsi="宋体" w:eastAsia="黑体" w:cs="黑体"/>
          <w:kern w:val="0"/>
          <w:sz w:val="32"/>
          <w:szCs w:val="32"/>
        </w:rPr>
        <w:t xml:space="preserve">第三十三条 </w:t>
      </w:r>
      <w:r>
        <w:rPr>
          <w:rFonts w:hint="eastAsia" w:ascii="仿宋_GB2312" w:eastAsia="仿宋_GB2312"/>
          <w:kern w:val="0"/>
          <w:sz w:val="32"/>
          <w:szCs w:val="32"/>
        </w:rPr>
        <w:t>鼓励电子商务企业集聚发展。对入驻盐田区内符合深圳市认定标准的产业集聚区的辖区电子商务企业，入驻运营满一年后且达到纳统规模的，一次性给予十万元资助。</w:t>
      </w:r>
    </w:p>
    <w:p>
      <w:pPr>
        <w:overflowPunct w:val="0"/>
        <w:autoSpaceDE w:val="0"/>
        <w:autoSpaceDN w:val="0"/>
        <w:adjustRightInd w:val="0"/>
        <w:snapToGrid w:val="0"/>
        <w:spacing w:line="560" w:lineRule="exact"/>
        <w:ind w:firstLine="640" w:firstLineChars="200"/>
        <w:rPr>
          <w:rFonts w:ascii="仿宋_GB2312" w:eastAsia="仿宋_GB2312" w:cs="仿宋"/>
          <w:kern w:val="0"/>
          <w:sz w:val="32"/>
          <w:szCs w:val="32"/>
        </w:rPr>
      </w:pPr>
      <w:r>
        <w:rPr>
          <w:rFonts w:hint="eastAsia" w:ascii="黑体" w:hAnsi="宋体" w:eastAsia="黑体" w:cs="黑体"/>
          <w:kern w:val="0"/>
          <w:sz w:val="32"/>
          <w:szCs w:val="32"/>
        </w:rPr>
        <w:t xml:space="preserve">第三十四条 </w:t>
      </w:r>
      <w:r>
        <w:rPr>
          <w:rFonts w:hint="eastAsia" w:ascii="仿宋_GB2312" w:eastAsia="仿宋_GB2312" w:cs="仿宋"/>
          <w:kern w:val="0"/>
          <w:sz w:val="32"/>
          <w:szCs w:val="32"/>
        </w:rPr>
        <w:t>对2019年以来获得市服务贸易创新专项扶持的项目，按市级配套的百分之二十给予扶持,单个项目最高不超过五十万元。</w:t>
      </w:r>
    </w:p>
    <w:p>
      <w:pPr>
        <w:overflowPunct w:val="0"/>
        <w:autoSpaceDE w:val="0"/>
        <w:autoSpaceDN w:val="0"/>
        <w:adjustRightInd w:val="0"/>
        <w:snapToGrid w:val="0"/>
        <w:spacing w:line="560" w:lineRule="exact"/>
        <w:ind w:firstLine="640" w:firstLineChars="200"/>
        <w:rPr>
          <w:rFonts w:ascii="仿宋_GB2312" w:eastAsia="仿宋_GB2312"/>
          <w:kern w:val="0"/>
          <w:sz w:val="32"/>
          <w:szCs w:val="32"/>
        </w:rPr>
      </w:pPr>
    </w:p>
    <w:p>
      <w:pPr>
        <w:overflowPunct w:val="0"/>
        <w:autoSpaceDE w:val="0"/>
        <w:autoSpaceDN w:val="0"/>
        <w:adjustRightInd w:val="0"/>
        <w:snapToGrid w:val="0"/>
        <w:spacing w:afterLines="50" w:line="560" w:lineRule="exact"/>
        <w:ind w:firstLine="640" w:firstLineChars="200"/>
        <w:jc w:val="center"/>
        <w:rPr>
          <w:rFonts w:ascii="黑体" w:hAnsi="宋体" w:eastAsia="黑体" w:cs="黑体"/>
          <w:sz w:val="32"/>
          <w:szCs w:val="32"/>
        </w:rPr>
      </w:pPr>
      <w:r>
        <w:rPr>
          <w:rFonts w:hint="eastAsia" w:ascii="黑体" w:hAnsi="宋体" w:eastAsia="黑体" w:cs="黑体"/>
          <w:sz w:val="32"/>
          <w:szCs w:val="32"/>
        </w:rPr>
        <w:t>第六章 支持企业提升规模拓展市场</w:t>
      </w:r>
    </w:p>
    <w:p>
      <w:pPr>
        <w:pStyle w:val="24"/>
        <w:overflowPunct w:val="0"/>
        <w:snapToGrid w:val="0"/>
        <w:spacing w:line="560" w:lineRule="exact"/>
        <w:ind w:firstLine="640" w:firstLineChars="200"/>
        <w:jc w:val="both"/>
        <w:rPr>
          <w:rFonts w:ascii="仿宋_GB2312" w:hAnsi="仿宋_GB2312" w:eastAsia="仿宋_GB2312" w:cs="仿宋_GB2312"/>
          <w:color w:val="auto"/>
          <w:sz w:val="32"/>
          <w:szCs w:val="32"/>
        </w:rPr>
      </w:pPr>
      <w:r>
        <w:rPr>
          <w:rFonts w:ascii="黑体" w:eastAsia="黑体" w:cs="黑体"/>
          <w:color w:val="auto"/>
          <w:sz w:val="32"/>
          <w:szCs w:val="32"/>
        </w:rPr>
        <w:t>第三十五条</w:t>
      </w:r>
      <w:r>
        <w:rPr>
          <w:rFonts w:hint="eastAsia" w:ascii="仿宋_GB2312" w:hAnsi="仿宋_GB2312" w:eastAsia="仿宋_GB2312" w:cs="仿宋_GB2312"/>
          <w:color w:val="auto"/>
          <w:sz w:val="32"/>
          <w:szCs w:val="32"/>
        </w:rPr>
        <w:t xml:space="preserve"> 加快培育规模以上企业。对在上一年度设立且</w:t>
      </w:r>
      <w:r>
        <w:rPr>
          <w:rFonts w:hint="eastAsia" w:ascii="仿宋_GB2312" w:hAnsi="仿宋_GB2312" w:eastAsia="仿宋_GB2312" w:cs="仿宋_GB2312"/>
          <w:sz w:val="32"/>
          <w:szCs w:val="32"/>
        </w:rPr>
        <w:t>达到国家统计局规模以上统计标准的</w:t>
      </w:r>
      <w:r>
        <w:rPr>
          <w:rFonts w:hint="eastAsia" w:ascii="仿宋_GB2312" w:hAnsi="仿宋_GB2312" w:eastAsia="仿宋_GB2312" w:cs="仿宋_GB2312"/>
          <w:color w:val="auto"/>
          <w:sz w:val="32"/>
          <w:szCs w:val="32"/>
        </w:rPr>
        <w:t>企业，给予十万元的一次性扶持。</w:t>
      </w:r>
    </w:p>
    <w:p>
      <w:pPr>
        <w:pStyle w:val="24"/>
        <w:overflowPunct w:val="0"/>
        <w:snapToGrid w:val="0"/>
        <w:spacing w:line="560" w:lineRule="exact"/>
        <w:ind w:firstLine="640" w:firstLineChars="200"/>
        <w:jc w:val="both"/>
        <w:rPr>
          <w:rFonts w:ascii="仿宋_GB2312" w:hAnsi="仿宋_GB2312" w:eastAsia="仿宋_GB2312" w:cs="仿宋_GB2312"/>
          <w:color w:val="auto"/>
          <w:sz w:val="32"/>
          <w:szCs w:val="32"/>
        </w:rPr>
      </w:pPr>
      <w:r>
        <w:rPr>
          <w:rFonts w:ascii="黑体" w:eastAsia="黑体" w:cs="黑体"/>
          <w:color w:val="auto"/>
          <w:sz w:val="32"/>
          <w:szCs w:val="32"/>
        </w:rPr>
        <w:t>第三十六条</w:t>
      </w:r>
      <w:r>
        <w:rPr>
          <w:rFonts w:cs="仿宋"/>
          <w:color w:val="auto"/>
          <w:sz w:val="32"/>
          <w:szCs w:val="32"/>
        </w:rPr>
        <w:t xml:space="preserve"> </w:t>
      </w:r>
      <w:r>
        <w:rPr>
          <w:rFonts w:hint="eastAsia" w:ascii="仿宋_GB2312" w:hAnsi="仿宋_GB2312" w:eastAsia="仿宋_GB2312" w:cs="仿宋_GB2312"/>
          <w:color w:val="auto"/>
          <w:sz w:val="32"/>
          <w:szCs w:val="32"/>
        </w:rPr>
        <w:t>鼓励企业参加展会。对2019年起参加被纳入《深圳市国内重点经贸科技类展会名录》及《深圳市境外展览重点支持项目计划》展会的企业按场租费百分之五十的比例给予扶持，每项展会扶持总额不超过五万元，每家企业每年可享受的参展扶持总额不超过二十万元。</w:t>
      </w:r>
    </w:p>
    <w:p>
      <w:pPr>
        <w:pStyle w:val="24"/>
        <w:overflowPunct w:val="0"/>
        <w:snapToGrid w:val="0"/>
        <w:spacing w:line="560" w:lineRule="exact"/>
        <w:ind w:firstLine="640" w:firstLineChars="200"/>
        <w:jc w:val="both"/>
        <w:rPr>
          <w:rFonts w:ascii="仿宋_GB2312" w:hAnsi="仿宋_GB2312" w:eastAsia="仿宋_GB2312" w:cs="仿宋_GB2312"/>
          <w:color w:val="auto"/>
          <w:sz w:val="32"/>
          <w:szCs w:val="32"/>
        </w:rPr>
      </w:pPr>
      <w:r>
        <w:rPr>
          <w:rFonts w:ascii="黑体" w:eastAsia="黑体" w:cs="黑体"/>
          <w:sz w:val="32"/>
          <w:szCs w:val="32"/>
        </w:rPr>
        <w:t xml:space="preserve">第三十七条 </w:t>
      </w:r>
      <w:r>
        <w:rPr>
          <w:rFonts w:hint="eastAsia" w:ascii="仿宋_GB2312" w:hAnsi="仿宋_GB2312" w:eastAsia="仿宋_GB2312" w:cs="仿宋_GB2312"/>
          <w:color w:val="auto"/>
          <w:sz w:val="32"/>
          <w:szCs w:val="32"/>
        </w:rPr>
        <w:t>对2019年起经主管部门认定的，具有较大行业影响力的活动，按不超过承办方活动支出总费用的百分之三十进行扶持。单个企业年度累计不超过一百万元。</w:t>
      </w:r>
    </w:p>
    <w:p>
      <w:pPr>
        <w:pStyle w:val="24"/>
        <w:overflowPunct w:val="0"/>
        <w:snapToGrid w:val="0"/>
        <w:spacing w:line="560" w:lineRule="exact"/>
        <w:ind w:firstLine="640" w:firstLineChars="200"/>
        <w:jc w:val="both"/>
        <w:rPr>
          <w:rFonts w:ascii="仿宋_GB2312" w:hAnsi="仿宋_GB2312" w:eastAsia="仿宋_GB2312" w:cs="仿宋_GB2312"/>
          <w:color w:val="auto"/>
          <w:sz w:val="32"/>
          <w:szCs w:val="32"/>
        </w:rPr>
      </w:pPr>
      <w:r>
        <w:rPr>
          <w:rFonts w:hint="eastAsia" w:ascii="黑体" w:hAnsi="黑体" w:eastAsia="黑体" w:cs="黑体"/>
          <w:color w:val="auto"/>
          <w:sz w:val="32"/>
          <w:szCs w:val="32"/>
        </w:rPr>
        <w:t>第三十八条</w:t>
      </w:r>
      <w:r>
        <w:rPr>
          <w:rFonts w:hint="eastAsia" w:ascii="仿宋_GB2312" w:hAnsi="仿宋_GB2312" w:eastAsia="仿宋_GB2312" w:cs="仿宋_GB2312"/>
          <w:color w:val="auto"/>
          <w:sz w:val="32"/>
          <w:szCs w:val="32"/>
        </w:rPr>
        <w:t xml:space="preserve"> 鼓励企业（单位）开展清洁生产。上一年度采取改进设计、使用清洁的能源和原料、采用先进的工艺技术与设备、改善管理、综合利用节水等措施，从源头削减污染，提高资源利用效率。对通过评审认定的企业（单位）予以十五万元的一次性扶持。扶持资金不超过清洁生产项目投入资金总额（含第三方技术服务费）。</w:t>
      </w:r>
    </w:p>
    <w:p>
      <w:pPr>
        <w:overflowPunct w:val="0"/>
        <w:autoSpaceDE w:val="0"/>
        <w:autoSpaceDN w:val="0"/>
        <w:adjustRightInd w:val="0"/>
        <w:snapToGrid w:val="0"/>
        <w:spacing w:line="560" w:lineRule="exact"/>
        <w:rPr>
          <w:rFonts w:ascii="仿宋_GB2312" w:eastAsia="仿宋_GB2312" w:cs="仿宋"/>
          <w:kern w:val="0"/>
          <w:sz w:val="32"/>
          <w:szCs w:val="32"/>
        </w:rPr>
      </w:pPr>
    </w:p>
    <w:p>
      <w:pPr>
        <w:overflowPunct w:val="0"/>
        <w:autoSpaceDE w:val="0"/>
        <w:autoSpaceDN w:val="0"/>
        <w:adjustRightInd w:val="0"/>
        <w:snapToGrid w:val="0"/>
        <w:spacing w:afterLines="50" w:line="560" w:lineRule="exact"/>
        <w:jc w:val="center"/>
        <w:rPr>
          <w:rFonts w:ascii="黑体" w:hAnsi="宋体" w:eastAsia="黑体" w:cs="黑体"/>
          <w:sz w:val="32"/>
          <w:szCs w:val="32"/>
        </w:rPr>
      </w:pPr>
      <w:r>
        <w:rPr>
          <w:rFonts w:hint="eastAsia" w:ascii="黑体" w:hAnsi="宋体" w:eastAsia="黑体" w:cs="黑体"/>
          <w:sz w:val="32"/>
          <w:szCs w:val="32"/>
        </w:rPr>
        <w:t>第七章 附则</w:t>
      </w:r>
    </w:p>
    <w:p>
      <w:pPr>
        <w:overflowPunct w:val="0"/>
        <w:autoSpaceDE w:val="0"/>
        <w:autoSpaceDN w:val="0"/>
        <w:adjustRightInd w:val="0"/>
        <w:snapToGrid w:val="0"/>
        <w:spacing w:line="560" w:lineRule="exact"/>
        <w:ind w:firstLine="640" w:firstLineChars="200"/>
        <w:rPr>
          <w:rFonts w:ascii="仿宋_GB2312" w:hAnsi="仿宋" w:eastAsia="仿宋_GB2312" w:cs="仿宋_GB2312"/>
          <w:sz w:val="32"/>
          <w:szCs w:val="32"/>
        </w:rPr>
      </w:pPr>
      <w:r>
        <w:rPr>
          <w:rFonts w:hint="eastAsia" w:ascii="黑体" w:hAnsi="宋体" w:eastAsia="黑体" w:cs="黑体"/>
          <w:kern w:val="0"/>
          <w:sz w:val="32"/>
          <w:szCs w:val="32"/>
        </w:rPr>
        <w:t xml:space="preserve">第三十九条 </w:t>
      </w:r>
      <w:r>
        <w:rPr>
          <w:rFonts w:hint="eastAsia" w:ascii="仿宋_GB2312" w:hAnsi="仿宋" w:eastAsia="仿宋_GB2312" w:cs="仿宋_GB2312"/>
          <w:sz w:val="32"/>
          <w:szCs w:val="32"/>
        </w:rPr>
        <w:t>本办法所称的“以上”“以下”“以内”“不超过”“以来”“以后”含本数，“超过”“不满”不含本数；“年度”“上一年度”指自然年度；“首次”“新”指2019年以后首次或新符合条件；“满一年”指至申报之日满三百六十五天。</w:t>
      </w:r>
    </w:p>
    <w:p>
      <w:pPr>
        <w:overflowPunct w:val="0"/>
        <w:autoSpaceDE w:val="0"/>
        <w:autoSpaceDN w:val="0"/>
        <w:adjustRightInd w:val="0"/>
        <w:snapToGrid w:val="0"/>
        <w:spacing w:line="560" w:lineRule="exact"/>
        <w:ind w:firstLine="640" w:firstLineChars="200"/>
        <w:rPr>
          <w:rFonts w:ascii="仿宋_GB2312" w:eastAsia="仿宋_GB2312" w:cs="仿宋_GB2312"/>
          <w:kern w:val="0"/>
          <w:sz w:val="32"/>
          <w:szCs w:val="32"/>
        </w:rPr>
      </w:pPr>
      <w:r>
        <w:rPr>
          <w:rFonts w:hint="eastAsia" w:ascii="黑体" w:hAnsi="宋体" w:eastAsia="黑体" w:cs="黑体"/>
          <w:kern w:val="0"/>
          <w:sz w:val="32"/>
          <w:szCs w:val="32"/>
        </w:rPr>
        <w:t xml:space="preserve">第四十条 </w:t>
      </w:r>
      <w:r>
        <w:rPr>
          <w:rFonts w:hint="eastAsia" w:ascii="仿宋_GB2312" w:eastAsia="仿宋_GB2312" w:cs="仿宋_GB2312"/>
          <w:kern w:val="0"/>
          <w:sz w:val="32"/>
          <w:szCs w:val="32"/>
        </w:rPr>
        <w:t>本办法实施后，《深圳市盐田区人民政府办公室印发关于支持企业提升竞争力和促进科技创新的若干措施的通知》（深盐府办规〔2017〕3号）第五条至第十条、第十九条、第四十六条至第四十八条不再执行，相关扶持条件和扶持标准以本办法为准。</w:t>
      </w:r>
    </w:p>
    <w:p>
      <w:pPr>
        <w:autoSpaceDE w:val="0"/>
        <w:autoSpaceDN w:val="0"/>
        <w:adjustRightInd w:val="0"/>
        <w:spacing w:line="560" w:lineRule="exact"/>
        <w:ind w:firstLine="640" w:firstLineChars="200"/>
        <w:contextualSpacing/>
        <w:rPr>
          <w:rFonts w:ascii="仿宋_GB2312" w:hAnsi="仿宋" w:eastAsia="仿宋_GB2312"/>
          <w:sz w:val="32"/>
          <w:szCs w:val="32"/>
        </w:rPr>
      </w:pPr>
      <w:r>
        <w:rPr>
          <w:rFonts w:hint="eastAsia" w:ascii="黑体" w:hAnsi="黑体" w:eastAsia="黑体" w:cs="Arial"/>
          <w:sz w:val="32"/>
          <w:szCs w:val="32"/>
        </w:rPr>
        <w:t xml:space="preserve">第四十一条 </w:t>
      </w:r>
      <w:r>
        <w:rPr>
          <w:rFonts w:hint="eastAsia" w:ascii="仿宋_GB2312" w:hAnsi="仿宋" w:eastAsia="仿宋_GB2312"/>
          <w:sz w:val="32"/>
          <w:szCs w:val="32"/>
        </w:rPr>
        <w:t xml:space="preserve">本办法由区政府授权区工业和信息化局负责解释。区工业和信息化局对获得扶持的单位和项目发展情况进行跟踪管理，会同区有关部门对扶持资金使用情况开展绩效评价。 </w:t>
      </w:r>
    </w:p>
    <w:p>
      <w:pPr>
        <w:spacing w:line="560" w:lineRule="exact"/>
        <w:ind w:firstLine="640" w:firstLineChars="200"/>
        <w:contextualSpacing/>
        <w:rPr>
          <w:rFonts w:ascii="华文中宋" w:hAnsi="华文中宋" w:eastAsia="华文中宋" w:cs="仿宋_GB2312"/>
          <w:color w:val="000000"/>
          <w:sz w:val="32"/>
          <w:szCs w:val="32"/>
        </w:rPr>
      </w:pPr>
      <w:r>
        <w:rPr>
          <w:rFonts w:hint="eastAsia" w:ascii="黑体" w:hAnsi="黑体" w:eastAsia="黑体" w:cs="Arial"/>
          <w:sz w:val="32"/>
          <w:szCs w:val="32"/>
        </w:rPr>
        <w:t>第四十二条</w:t>
      </w:r>
      <w:r>
        <w:rPr>
          <w:rFonts w:hint="eastAsia" w:ascii="仿宋_GB2312" w:hAnsi="仿宋" w:eastAsia="仿宋_GB2312"/>
          <w:sz w:val="32"/>
          <w:szCs w:val="32"/>
        </w:rPr>
        <w:t xml:space="preserve"> 本办法自2020年5月</w:t>
      </w:r>
      <w:r>
        <w:rPr>
          <w:rFonts w:hint="eastAsia" w:ascii="仿宋_GB2312" w:hAnsi="仿宋" w:eastAsia="仿宋_GB2312"/>
          <w:sz w:val="32"/>
          <w:szCs w:val="32"/>
          <w:lang w:val="en-US" w:eastAsia="zh-CN"/>
        </w:rPr>
        <w:t>30</w:t>
      </w:r>
      <w:r>
        <w:rPr>
          <w:rFonts w:hint="eastAsia" w:ascii="仿宋_GB2312" w:hAnsi="仿宋" w:eastAsia="仿宋_GB2312"/>
          <w:sz w:val="32"/>
          <w:szCs w:val="32"/>
        </w:rPr>
        <w:t>日起施行，有效期</w:t>
      </w:r>
      <w:r>
        <w:rPr>
          <w:rFonts w:hint="eastAsia" w:ascii="仿宋_GB2312" w:eastAsia="仿宋_GB2312" w:cs="仿宋_GB2312"/>
          <w:kern w:val="0"/>
          <w:sz w:val="32"/>
          <w:szCs w:val="32"/>
        </w:rPr>
        <w:t>三年。国家政策出现重大调整或另有规定的，予以相应调整</w:t>
      </w:r>
      <w:r>
        <w:rPr>
          <w:rFonts w:hint="eastAsia" w:ascii="仿宋_GB2312" w:hAnsi="Calibri" w:eastAsia="仿宋_GB2312" w:cs="Calibri"/>
          <w:color w:val="000000" w:themeColor="text1"/>
          <w:kern w:val="0"/>
          <w:sz w:val="32"/>
          <w:szCs w:val="32"/>
        </w:rPr>
        <w:t>。</w:t>
      </w: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afterLines="50" w:line="580" w:lineRule="exact"/>
        <w:rPr>
          <w:rFonts w:ascii="华文中宋" w:hAnsi="华文中宋" w:eastAsia="华文中宋" w:cs="仿宋_GB2312"/>
          <w:color w:val="000000"/>
          <w:sz w:val="32"/>
          <w:szCs w:val="32"/>
        </w:rPr>
      </w:pPr>
    </w:p>
    <w:p>
      <w:pPr>
        <w:spacing w:line="580" w:lineRule="exact"/>
        <w:rPr>
          <w:rFonts w:ascii="仿宋_GB2312" w:hAnsi="华文中宋" w:eastAsia="仿宋_GB2312"/>
          <w:color w:val="000000"/>
          <w:sz w:val="32"/>
          <w:szCs w:val="32"/>
        </w:rPr>
      </w:pPr>
      <w:r>
        <w:rPr>
          <w:rFonts w:hint="eastAsia" w:ascii="黑体" w:hAnsi="华文中宋" w:eastAsia="黑体"/>
          <w:color w:val="000000"/>
          <w:sz w:val="32"/>
          <w:szCs w:val="32"/>
        </w:rPr>
        <w:t>公开方式：</w:t>
      </w:r>
      <w:r>
        <w:rPr>
          <w:rFonts w:hint="eastAsia" w:ascii="仿宋_GB2312" w:hAnsi="华文中宋" w:eastAsia="仿宋_GB2312"/>
          <w:color w:val="000000"/>
          <w:sz w:val="32"/>
          <w:szCs w:val="32"/>
        </w:rPr>
        <w:t>主动公开</w:t>
      </w:r>
    </w:p>
    <w:p>
      <w:pPr>
        <w:spacing w:line="580" w:lineRule="exact"/>
        <w:rPr>
          <w:rFonts w:ascii="仿宋_GB2312" w:hAnsi="华文中宋" w:eastAsia="仿宋_GB2312"/>
          <w:color w:val="000000"/>
          <w:sz w:val="32"/>
          <w:szCs w:val="32"/>
        </w:rPr>
      </w:pPr>
    </w:p>
    <w:p>
      <w:pPr>
        <w:pBdr>
          <w:top w:val="single" w:color="auto" w:sz="8" w:space="1"/>
          <w:left w:val="none" w:color="auto" w:sz="0" w:space="4"/>
          <w:bottom w:val="single" w:color="auto" w:sz="8" w:space="1"/>
          <w:right w:val="none" w:color="auto" w:sz="0" w:space="4"/>
          <w:between w:val="single" w:color="auto" w:sz="4" w:space="0"/>
        </w:pBdr>
        <w:ind w:firstLine="140" w:firstLineChars="5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深圳市盐田区人民政府办公室                2020年</w:t>
      </w:r>
      <w:r>
        <w:rPr>
          <w:rFonts w:hint="eastAsia" w:ascii="仿宋_GB2312" w:hAnsi="宋体" w:eastAsia="仿宋_GB2312" w:cs="仿宋_GB2312"/>
          <w:color w:val="000000"/>
          <w:sz w:val="28"/>
          <w:szCs w:val="28"/>
        </w:rPr>
        <w:t>5</w:t>
      </w:r>
      <w:r>
        <w:rPr>
          <w:rFonts w:hint="eastAsia" w:ascii="仿宋_GB2312" w:hAnsi="仿宋_GB2312" w:eastAsia="仿宋_GB2312" w:cs="仿宋_GB2312"/>
          <w:color w:val="000000"/>
          <w:sz w:val="28"/>
          <w:szCs w:val="28"/>
        </w:rPr>
        <w:t>月</w:t>
      </w:r>
      <w:r>
        <w:rPr>
          <w:rFonts w:hint="eastAsia" w:ascii="仿宋_GB2312" w:hAnsi="宋体" w:eastAsia="仿宋_GB2312" w:cs="仿宋_GB2312"/>
          <w:color w:val="000000"/>
          <w:sz w:val="28"/>
          <w:szCs w:val="28"/>
          <w:lang w:val="en-US" w:eastAsia="zh-CN"/>
        </w:rPr>
        <w:t>20</w:t>
      </w:r>
      <w:r>
        <w:rPr>
          <w:rFonts w:hint="eastAsia" w:ascii="仿宋_GB2312" w:hAnsi="仿宋_GB2312" w:eastAsia="仿宋_GB2312" w:cs="仿宋_GB2312"/>
          <w:color w:val="000000"/>
          <w:sz w:val="28"/>
          <w:szCs w:val="28"/>
        </w:rPr>
        <w:t>日印发</w:t>
      </w:r>
    </w:p>
    <w:sectPr>
      <w:footerReference r:id="rId4" w:type="default"/>
      <w:headerReference r:id="rId3" w:type="even"/>
      <w:footerReference r:id="rId5" w:type="even"/>
      <w:pgSz w:w="11906" w:h="16838"/>
      <w:pgMar w:top="1985" w:right="1474" w:bottom="1531" w:left="1588" w:header="851" w:footer="1191" w:gutter="0"/>
      <w:pgNumType w:start="1"/>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鼎小标宋简">
    <w:altName w:val="Arial Unicode MS"/>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大标宋简体">
    <w:panose1 w:val="03000509000000000000"/>
    <w:charset w:val="86"/>
    <w:family w:val="script"/>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1111" w:h="435" w:hRule="exact" w:wrap="around" w:vAnchor="text" w:hAnchor="page" w:x="9308" w:y="101"/>
      <w:rPr>
        <w:rStyle w:val="17"/>
        <w:rFonts w:ascii="Batang" w:hAnsi="Batang" w:eastAsia="Batang"/>
        <w:b/>
        <w:sz w:val="26"/>
        <w:szCs w:val="26"/>
      </w:rPr>
    </w:pPr>
    <w:r>
      <w:rPr>
        <w:rStyle w:val="17"/>
        <w:rFonts w:hint="eastAsia" w:ascii="Batang" w:hAnsi="Batang" w:eastAsia="Batang"/>
        <w:b/>
        <w:sz w:val="26"/>
        <w:szCs w:val="26"/>
      </w:rPr>
      <w:t xml:space="preserve">— </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w:t>
    </w:r>
    <w:r>
      <w:rPr>
        <w:rStyle w:val="17"/>
        <w:rFonts w:ascii="宋体" w:hAnsi="宋体"/>
        <w:sz w:val="28"/>
        <w:szCs w:val="28"/>
      </w:rPr>
      <w:fldChar w:fldCharType="end"/>
    </w:r>
    <w:r>
      <w:rPr>
        <w:rStyle w:val="17"/>
        <w:rFonts w:hint="eastAsia" w:ascii="Batang" w:hAnsi="Batang" w:eastAsia="Batang"/>
        <w:b/>
        <w:sz w:val="26"/>
        <w:szCs w:val="26"/>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page" w:x="1633" w:y="41"/>
      <w:rPr>
        <w:rStyle w:val="17"/>
        <w:rFonts w:ascii="Batang" w:hAnsi="Batang" w:eastAsia="Batang"/>
        <w:b/>
        <w:sz w:val="26"/>
        <w:szCs w:val="26"/>
      </w:rPr>
    </w:pPr>
    <w:r>
      <w:rPr>
        <w:rStyle w:val="17"/>
        <w:rFonts w:hint="eastAsia" w:ascii="Batang" w:hAnsi="Batang" w:eastAsia="Batang"/>
        <w:b/>
        <w:sz w:val="26"/>
        <w:szCs w:val="26"/>
      </w:rPr>
      <w:t xml:space="preserve">— </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12</w:t>
    </w:r>
    <w:r>
      <w:rPr>
        <w:rStyle w:val="17"/>
        <w:rFonts w:ascii="宋体" w:hAnsi="宋体"/>
        <w:sz w:val="28"/>
        <w:szCs w:val="28"/>
      </w:rPr>
      <w:fldChar w:fldCharType="end"/>
    </w:r>
    <w:r>
      <w:rPr>
        <w:rStyle w:val="17"/>
        <w:rFonts w:hint="eastAsia" w:ascii="Batang" w:hAnsi="Batang" w:eastAsia="Batang"/>
        <w:b/>
        <w:sz w:val="26"/>
        <w:szCs w:val="26"/>
      </w:rPr>
      <w:t xml:space="preserve"> —</w:t>
    </w:r>
  </w:p>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revisionView w:markup="0"/>
  <w:trackRevisions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KGWebUrl" w:val="http://csfile.szoa.sz.gov.cn//file/download?md5Path=435fba95bc0bcaedf42207b01f0715d6@37194&amp;webOffice=1&amp;identityId=A149C71DF9384399A8A1D1DF5BF2BF51&amp;token=d60447d1338441c59eb3c8066e32e8ea&amp;identityId=A149C71DF9384399A8A1D1DF5BF2BF51&amp;wjbh=B202006366&amp;hddyid=LCA010001_HD_05&amp;fileSrcName=2020_05_20_17_57_41_3FF560433A0D57B5D9BB2661D5D559C6.docx"/>
  </w:docVars>
  <w:rsids>
    <w:rsidRoot w:val="000231F8"/>
    <w:rsid w:val="000000D2"/>
    <w:rsid w:val="00007939"/>
    <w:rsid w:val="00011DA9"/>
    <w:rsid w:val="00011FAC"/>
    <w:rsid w:val="000231F8"/>
    <w:rsid w:val="000264EC"/>
    <w:rsid w:val="00033B3D"/>
    <w:rsid w:val="000405A1"/>
    <w:rsid w:val="00041E1E"/>
    <w:rsid w:val="00047203"/>
    <w:rsid w:val="00047C6D"/>
    <w:rsid w:val="00051425"/>
    <w:rsid w:val="0005687A"/>
    <w:rsid w:val="000700CC"/>
    <w:rsid w:val="00073FEE"/>
    <w:rsid w:val="00075BA9"/>
    <w:rsid w:val="0007765D"/>
    <w:rsid w:val="00081F30"/>
    <w:rsid w:val="00082373"/>
    <w:rsid w:val="0008694B"/>
    <w:rsid w:val="000869B5"/>
    <w:rsid w:val="0009149B"/>
    <w:rsid w:val="0009434B"/>
    <w:rsid w:val="000A353B"/>
    <w:rsid w:val="000A3CAD"/>
    <w:rsid w:val="000A6832"/>
    <w:rsid w:val="000A6F35"/>
    <w:rsid w:val="000B197C"/>
    <w:rsid w:val="000B3978"/>
    <w:rsid w:val="000C7D3B"/>
    <w:rsid w:val="000D15CF"/>
    <w:rsid w:val="000D196D"/>
    <w:rsid w:val="000D2472"/>
    <w:rsid w:val="000D33B1"/>
    <w:rsid w:val="000D49BE"/>
    <w:rsid w:val="000F0FEE"/>
    <w:rsid w:val="000F4E90"/>
    <w:rsid w:val="000F671B"/>
    <w:rsid w:val="00103290"/>
    <w:rsid w:val="00106188"/>
    <w:rsid w:val="00116697"/>
    <w:rsid w:val="00123080"/>
    <w:rsid w:val="00123C35"/>
    <w:rsid w:val="0013251B"/>
    <w:rsid w:val="00141B80"/>
    <w:rsid w:val="001461ED"/>
    <w:rsid w:val="00147305"/>
    <w:rsid w:val="00163E01"/>
    <w:rsid w:val="00173CDB"/>
    <w:rsid w:val="001814C4"/>
    <w:rsid w:val="00181788"/>
    <w:rsid w:val="00190EC8"/>
    <w:rsid w:val="00195712"/>
    <w:rsid w:val="001A7908"/>
    <w:rsid w:val="001B043E"/>
    <w:rsid w:val="001B54E6"/>
    <w:rsid w:val="001B7EB2"/>
    <w:rsid w:val="001C44C7"/>
    <w:rsid w:val="001C4BCF"/>
    <w:rsid w:val="001E50CE"/>
    <w:rsid w:val="001E5669"/>
    <w:rsid w:val="001F42A9"/>
    <w:rsid w:val="001F552B"/>
    <w:rsid w:val="00204C04"/>
    <w:rsid w:val="00206362"/>
    <w:rsid w:val="002130DA"/>
    <w:rsid w:val="0022235F"/>
    <w:rsid w:val="002328AA"/>
    <w:rsid w:val="002343DE"/>
    <w:rsid w:val="00240CE1"/>
    <w:rsid w:val="00250693"/>
    <w:rsid w:val="00252071"/>
    <w:rsid w:val="00253FE1"/>
    <w:rsid w:val="0027269A"/>
    <w:rsid w:val="00273A18"/>
    <w:rsid w:val="00277131"/>
    <w:rsid w:val="00281A77"/>
    <w:rsid w:val="00281BFE"/>
    <w:rsid w:val="0028747D"/>
    <w:rsid w:val="00293B01"/>
    <w:rsid w:val="002A47DE"/>
    <w:rsid w:val="002B227C"/>
    <w:rsid w:val="002C45ED"/>
    <w:rsid w:val="002D67C0"/>
    <w:rsid w:val="002E16B3"/>
    <w:rsid w:val="002E3FE2"/>
    <w:rsid w:val="002F1D65"/>
    <w:rsid w:val="00306A07"/>
    <w:rsid w:val="00307769"/>
    <w:rsid w:val="00317345"/>
    <w:rsid w:val="00317A32"/>
    <w:rsid w:val="003209CD"/>
    <w:rsid w:val="003237E7"/>
    <w:rsid w:val="0033483C"/>
    <w:rsid w:val="00336E02"/>
    <w:rsid w:val="00337604"/>
    <w:rsid w:val="00342706"/>
    <w:rsid w:val="00345605"/>
    <w:rsid w:val="003537C8"/>
    <w:rsid w:val="00357038"/>
    <w:rsid w:val="003612BD"/>
    <w:rsid w:val="00372CF5"/>
    <w:rsid w:val="00377C39"/>
    <w:rsid w:val="00382889"/>
    <w:rsid w:val="00386640"/>
    <w:rsid w:val="00387901"/>
    <w:rsid w:val="00392121"/>
    <w:rsid w:val="003A6891"/>
    <w:rsid w:val="003A7CF0"/>
    <w:rsid w:val="003B5CB0"/>
    <w:rsid w:val="003D0033"/>
    <w:rsid w:val="003D346F"/>
    <w:rsid w:val="003E027E"/>
    <w:rsid w:val="003E432A"/>
    <w:rsid w:val="003F121B"/>
    <w:rsid w:val="003F6754"/>
    <w:rsid w:val="003F7211"/>
    <w:rsid w:val="00403A48"/>
    <w:rsid w:val="00403A7C"/>
    <w:rsid w:val="00412821"/>
    <w:rsid w:val="0041686A"/>
    <w:rsid w:val="00417A03"/>
    <w:rsid w:val="004231BA"/>
    <w:rsid w:val="00433557"/>
    <w:rsid w:val="00434E1A"/>
    <w:rsid w:val="00442C34"/>
    <w:rsid w:val="004443F8"/>
    <w:rsid w:val="0046388E"/>
    <w:rsid w:val="00467235"/>
    <w:rsid w:val="004A1895"/>
    <w:rsid w:val="004A227B"/>
    <w:rsid w:val="004A5D0D"/>
    <w:rsid w:val="004A735E"/>
    <w:rsid w:val="004B1E00"/>
    <w:rsid w:val="004B45DB"/>
    <w:rsid w:val="004B5D57"/>
    <w:rsid w:val="004C148B"/>
    <w:rsid w:val="004C5AB9"/>
    <w:rsid w:val="004C6A14"/>
    <w:rsid w:val="004D67C2"/>
    <w:rsid w:val="004E099E"/>
    <w:rsid w:val="004E1661"/>
    <w:rsid w:val="004F428F"/>
    <w:rsid w:val="004F5BA7"/>
    <w:rsid w:val="004F766B"/>
    <w:rsid w:val="0050219F"/>
    <w:rsid w:val="00503388"/>
    <w:rsid w:val="00505673"/>
    <w:rsid w:val="00515AD6"/>
    <w:rsid w:val="00516025"/>
    <w:rsid w:val="005305FF"/>
    <w:rsid w:val="00531041"/>
    <w:rsid w:val="00534F39"/>
    <w:rsid w:val="00552C81"/>
    <w:rsid w:val="0055440E"/>
    <w:rsid w:val="005623C3"/>
    <w:rsid w:val="005650F3"/>
    <w:rsid w:val="00567EB0"/>
    <w:rsid w:val="005740D6"/>
    <w:rsid w:val="005745DD"/>
    <w:rsid w:val="00574CEC"/>
    <w:rsid w:val="00582591"/>
    <w:rsid w:val="00584C3E"/>
    <w:rsid w:val="00585A54"/>
    <w:rsid w:val="0059305A"/>
    <w:rsid w:val="00593EDC"/>
    <w:rsid w:val="00597B8B"/>
    <w:rsid w:val="00597E4B"/>
    <w:rsid w:val="005B5EAC"/>
    <w:rsid w:val="005C1EA3"/>
    <w:rsid w:val="005C46C8"/>
    <w:rsid w:val="005D6863"/>
    <w:rsid w:val="005E194A"/>
    <w:rsid w:val="005E1B0B"/>
    <w:rsid w:val="005E1B3D"/>
    <w:rsid w:val="005E5A88"/>
    <w:rsid w:val="005E7476"/>
    <w:rsid w:val="005F1167"/>
    <w:rsid w:val="005F1F48"/>
    <w:rsid w:val="005F3D78"/>
    <w:rsid w:val="005F55A3"/>
    <w:rsid w:val="006050C4"/>
    <w:rsid w:val="00611A8E"/>
    <w:rsid w:val="006128E9"/>
    <w:rsid w:val="0062197D"/>
    <w:rsid w:val="00630E25"/>
    <w:rsid w:val="006353A9"/>
    <w:rsid w:val="00640AD1"/>
    <w:rsid w:val="006417AF"/>
    <w:rsid w:val="00647045"/>
    <w:rsid w:val="00651F7D"/>
    <w:rsid w:val="00652F72"/>
    <w:rsid w:val="006544F6"/>
    <w:rsid w:val="0065547C"/>
    <w:rsid w:val="00656249"/>
    <w:rsid w:val="006641DD"/>
    <w:rsid w:val="00664712"/>
    <w:rsid w:val="00666F29"/>
    <w:rsid w:val="00677E1A"/>
    <w:rsid w:val="00680AEE"/>
    <w:rsid w:val="0068278A"/>
    <w:rsid w:val="00685489"/>
    <w:rsid w:val="006866B0"/>
    <w:rsid w:val="00686886"/>
    <w:rsid w:val="00691A47"/>
    <w:rsid w:val="006933A7"/>
    <w:rsid w:val="006A394C"/>
    <w:rsid w:val="006B057B"/>
    <w:rsid w:val="006B14C0"/>
    <w:rsid w:val="006B2076"/>
    <w:rsid w:val="006B77C1"/>
    <w:rsid w:val="006C13F1"/>
    <w:rsid w:val="006D0481"/>
    <w:rsid w:val="006D6DF3"/>
    <w:rsid w:val="006E3C39"/>
    <w:rsid w:val="007024F3"/>
    <w:rsid w:val="00703054"/>
    <w:rsid w:val="00706730"/>
    <w:rsid w:val="00716312"/>
    <w:rsid w:val="007171AF"/>
    <w:rsid w:val="00721A28"/>
    <w:rsid w:val="00721FDF"/>
    <w:rsid w:val="00722937"/>
    <w:rsid w:val="00722C98"/>
    <w:rsid w:val="00725EF0"/>
    <w:rsid w:val="00725F97"/>
    <w:rsid w:val="00731CF1"/>
    <w:rsid w:val="00735528"/>
    <w:rsid w:val="00741BE4"/>
    <w:rsid w:val="00751959"/>
    <w:rsid w:val="00757171"/>
    <w:rsid w:val="007628D4"/>
    <w:rsid w:val="00767598"/>
    <w:rsid w:val="007813A7"/>
    <w:rsid w:val="007B31FC"/>
    <w:rsid w:val="007C1359"/>
    <w:rsid w:val="007C6128"/>
    <w:rsid w:val="007D37A9"/>
    <w:rsid w:val="007E0D77"/>
    <w:rsid w:val="007E17AE"/>
    <w:rsid w:val="007F3E4B"/>
    <w:rsid w:val="007F7B40"/>
    <w:rsid w:val="00804357"/>
    <w:rsid w:val="0082101B"/>
    <w:rsid w:val="00832F65"/>
    <w:rsid w:val="00834D19"/>
    <w:rsid w:val="008409D8"/>
    <w:rsid w:val="00844B73"/>
    <w:rsid w:val="008552B2"/>
    <w:rsid w:val="00855901"/>
    <w:rsid w:val="00873753"/>
    <w:rsid w:val="00877A64"/>
    <w:rsid w:val="00887A25"/>
    <w:rsid w:val="0089163B"/>
    <w:rsid w:val="00891CB1"/>
    <w:rsid w:val="008A129D"/>
    <w:rsid w:val="008A22EB"/>
    <w:rsid w:val="008A7DC5"/>
    <w:rsid w:val="008B1F08"/>
    <w:rsid w:val="008B2AC7"/>
    <w:rsid w:val="008B39EF"/>
    <w:rsid w:val="008B5D60"/>
    <w:rsid w:val="008C327A"/>
    <w:rsid w:val="008C48E1"/>
    <w:rsid w:val="008C56DA"/>
    <w:rsid w:val="008C5E11"/>
    <w:rsid w:val="008C6684"/>
    <w:rsid w:val="008C68C8"/>
    <w:rsid w:val="008C724B"/>
    <w:rsid w:val="008D52CC"/>
    <w:rsid w:val="008D6E24"/>
    <w:rsid w:val="008D7D6C"/>
    <w:rsid w:val="008E1ED1"/>
    <w:rsid w:val="008F1478"/>
    <w:rsid w:val="00922CCA"/>
    <w:rsid w:val="009326FF"/>
    <w:rsid w:val="00934038"/>
    <w:rsid w:val="009458C8"/>
    <w:rsid w:val="0094672B"/>
    <w:rsid w:val="009471F9"/>
    <w:rsid w:val="00951917"/>
    <w:rsid w:val="00960FE1"/>
    <w:rsid w:val="00964B0C"/>
    <w:rsid w:val="00965707"/>
    <w:rsid w:val="0097454A"/>
    <w:rsid w:val="00977E5B"/>
    <w:rsid w:val="00994C9D"/>
    <w:rsid w:val="009A2302"/>
    <w:rsid w:val="009A28A2"/>
    <w:rsid w:val="009A54AC"/>
    <w:rsid w:val="009A5DB8"/>
    <w:rsid w:val="009B2613"/>
    <w:rsid w:val="009B3756"/>
    <w:rsid w:val="009C0AD7"/>
    <w:rsid w:val="009D15DB"/>
    <w:rsid w:val="009D163A"/>
    <w:rsid w:val="009E5DF9"/>
    <w:rsid w:val="009E7466"/>
    <w:rsid w:val="009F0F4B"/>
    <w:rsid w:val="009F1C11"/>
    <w:rsid w:val="009F2C87"/>
    <w:rsid w:val="009F50FB"/>
    <w:rsid w:val="00A0405D"/>
    <w:rsid w:val="00A10251"/>
    <w:rsid w:val="00A17956"/>
    <w:rsid w:val="00A21DF6"/>
    <w:rsid w:val="00A2264E"/>
    <w:rsid w:val="00A30B87"/>
    <w:rsid w:val="00A31E4F"/>
    <w:rsid w:val="00A356F7"/>
    <w:rsid w:val="00A37492"/>
    <w:rsid w:val="00A4192C"/>
    <w:rsid w:val="00A5531B"/>
    <w:rsid w:val="00A564A0"/>
    <w:rsid w:val="00A61BCA"/>
    <w:rsid w:val="00A80692"/>
    <w:rsid w:val="00A9209D"/>
    <w:rsid w:val="00AB5792"/>
    <w:rsid w:val="00AD6B88"/>
    <w:rsid w:val="00AE118E"/>
    <w:rsid w:val="00AE74DB"/>
    <w:rsid w:val="00B067D8"/>
    <w:rsid w:val="00B2499F"/>
    <w:rsid w:val="00B316DF"/>
    <w:rsid w:val="00B35144"/>
    <w:rsid w:val="00B374E5"/>
    <w:rsid w:val="00B76EA2"/>
    <w:rsid w:val="00B81D4D"/>
    <w:rsid w:val="00B83234"/>
    <w:rsid w:val="00B90D9D"/>
    <w:rsid w:val="00B97D1B"/>
    <w:rsid w:val="00BA1E12"/>
    <w:rsid w:val="00BB2CC0"/>
    <w:rsid w:val="00BC20E2"/>
    <w:rsid w:val="00BD5992"/>
    <w:rsid w:val="00BD6754"/>
    <w:rsid w:val="00BE7BAD"/>
    <w:rsid w:val="00C02135"/>
    <w:rsid w:val="00C02EB0"/>
    <w:rsid w:val="00C13AE4"/>
    <w:rsid w:val="00C144B3"/>
    <w:rsid w:val="00C1489C"/>
    <w:rsid w:val="00C2735F"/>
    <w:rsid w:val="00C360B2"/>
    <w:rsid w:val="00C47669"/>
    <w:rsid w:val="00C563CB"/>
    <w:rsid w:val="00C56537"/>
    <w:rsid w:val="00C60D94"/>
    <w:rsid w:val="00C62FA0"/>
    <w:rsid w:val="00C632F2"/>
    <w:rsid w:val="00C70439"/>
    <w:rsid w:val="00C71EC1"/>
    <w:rsid w:val="00C75D4A"/>
    <w:rsid w:val="00C80F08"/>
    <w:rsid w:val="00C83286"/>
    <w:rsid w:val="00C90E92"/>
    <w:rsid w:val="00C97A94"/>
    <w:rsid w:val="00CA196E"/>
    <w:rsid w:val="00CA302B"/>
    <w:rsid w:val="00CB4920"/>
    <w:rsid w:val="00CB7900"/>
    <w:rsid w:val="00CC160D"/>
    <w:rsid w:val="00CC2395"/>
    <w:rsid w:val="00CC4BA6"/>
    <w:rsid w:val="00CC670B"/>
    <w:rsid w:val="00CD54CD"/>
    <w:rsid w:val="00CE3E39"/>
    <w:rsid w:val="00CF4CFE"/>
    <w:rsid w:val="00D17F57"/>
    <w:rsid w:val="00D22E2D"/>
    <w:rsid w:val="00D22EA3"/>
    <w:rsid w:val="00D27D5C"/>
    <w:rsid w:val="00D303D8"/>
    <w:rsid w:val="00D43D1B"/>
    <w:rsid w:val="00D55C9D"/>
    <w:rsid w:val="00D639B6"/>
    <w:rsid w:val="00D67DA8"/>
    <w:rsid w:val="00D71B7D"/>
    <w:rsid w:val="00D776A9"/>
    <w:rsid w:val="00D867DE"/>
    <w:rsid w:val="00D86F42"/>
    <w:rsid w:val="00D9095F"/>
    <w:rsid w:val="00D96CAC"/>
    <w:rsid w:val="00DA192A"/>
    <w:rsid w:val="00DA2F79"/>
    <w:rsid w:val="00DA5725"/>
    <w:rsid w:val="00DB73DD"/>
    <w:rsid w:val="00DC2416"/>
    <w:rsid w:val="00DC2C86"/>
    <w:rsid w:val="00DD5232"/>
    <w:rsid w:val="00DE3360"/>
    <w:rsid w:val="00DE5672"/>
    <w:rsid w:val="00DE6A4D"/>
    <w:rsid w:val="00DF42AD"/>
    <w:rsid w:val="00DF4779"/>
    <w:rsid w:val="00E030C8"/>
    <w:rsid w:val="00E05712"/>
    <w:rsid w:val="00E12A3B"/>
    <w:rsid w:val="00E12B8F"/>
    <w:rsid w:val="00E14D97"/>
    <w:rsid w:val="00E15543"/>
    <w:rsid w:val="00E30B2E"/>
    <w:rsid w:val="00E31517"/>
    <w:rsid w:val="00E31A82"/>
    <w:rsid w:val="00E31F29"/>
    <w:rsid w:val="00E35BCB"/>
    <w:rsid w:val="00E5395B"/>
    <w:rsid w:val="00E572BD"/>
    <w:rsid w:val="00E66629"/>
    <w:rsid w:val="00E66A23"/>
    <w:rsid w:val="00E73E71"/>
    <w:rsid w:val="00E744EC"/>
    <w:rsid w:val="00E82282"/>
    <w:rsid w:val="00E83BC3"/>
    <w:rsid w:val="00E92FFE"/>
    <w:rsid w:val="00E938AD"/>
    <w:rsid w:val="00EA5977"/>
    <w:rsid w:val="00EB40DF"/>
    <w:rsid w:val="00EB66CA"/>
    <w:rsid w:val="00EC11A0"/>
    <w:rsid w:val="00EC33E3"/>
    <w:rsid w:val="00ED62DC"/>
    <w:rsid w:val="00EE09DD"/>
    <w:rsid w:val="00EE0B4B"/>
    <w:rsid w:val="00EE5B4A"/>
    <w:rsid w:val="00F133C1"/>
    <w:rsid w:val="00F13F9A"/>
    <w:rsid w:val="00F14BC4"/>
    <w:rsid w:val="00F15C28"/>
    <w:rsid w:val="00F20B7A"/>
    <w:rsid w:val="00F25824"/>
    <w:rsid w:val="00F26CF2"/>
    <w:rsid w:val="00F50FC1"/>
    <w:rsid w:val="00F637E9"/>
    <w:rsid w:val="00F671E3"/>
    <w:rsid w:val="00F75566"/>
    <w:rsid w:val="00F81CB1"/>
    <w:rsid w:val="00F83AAD"/>
    <w:rsid w:val="00F84387"/>
    <w:rsid w:val="00F852A2"/>
    <w:rsid w:val="00F91878"/>
    <w:rsid w:val="00FA1E8F"/>
    <w:rsid w:val="00FA493A"/>
    <w:rsid w:val="00FA5246"/>
    <w:rsid w:val="00FC33C9"/>
    <w:rsid w:val="00FC3BF2"/>
    <w:rsid w:val="00FC4564"/>
    <w:rsid w:val="00FE0A51"/>
    <w:rsid w:val="00FE7662"/>
    <w:rsid w:val="00FF167C"/>
    <w:rsid w:val="00FF39EB"/>
    <w:rsid w:val="01B8569A"/>
    <w:rsid w:val="02735BA4"/>
    <w:rsid w:val="03664C19"/>
    <w:rsid w:val="05A73722"/>
    <w:rsid w:val="06877C9E"/>
    <w:rsid w:val="08163018"/>
    <w:rsid w:val="0C341B57"/>
    <w:rsid w:val="0D01606C"/>
    <w:rsid w:val="0DA70CC8"/>
    <w:rsid w:val="0DC7454E"/>
    <w:rsid w:val="106F797F"/>
    <w:rsid w:val="113B6235"/>
    <w:rsid w:val="13C14927"/>
    <w:rsid w:val="1488368B"/>
    <w:rsid w:val="14FE24EE"/>
    <w:rsid w:val="15752B05"/>
    <w:rsid w:val="15CE3BD6"/>
    <w:rsid w:val="161B45E9"/>
    <w:rsid w:val="170059E1"/>
    <w:rsid w:val="179915C5"/>
    <w:rsid w:val="17BE5F65"/>
    <w:rsid w:val="17C67CC8"/>
    <w:rsid w:val="18365EAB"/>
    <w:rsid w:val="185A561B"/>
    <w:rsid w:val="18B12C89"/>
    <w:rsid w:val="1956371F"/>
    <w:rsid w:val="19D66DDA"/>
    <w:rsid w:val="1A4972D0"/>
    <w:rsid w:val="1A6F528F"/>
    <w:rsid w:val="1AC947C4"/>
    <w:rsid w:val="1C074C7F"/>
    <w:rsid w:val="1C5A6E70"/>
    <w:rsid w:val="1CAE4BEB"/>
    <w:rsid w:val="1D302F2E"/>
    <w:rsid w:val="20115229"/>
    <w:rsid w:val="20D90FC6"/>
    <w:rsid w:val="21CD0C09"/>
    <w:rsid w:val="222D3DB9"/>
    <w:rsid w:val="22B20F16"/>
    <w:rsid w:val="22C43785"/>
    <w:rsid w:val="247B4A67"/>
    <w:rsid w:val="24A07522"/>
    <w:rsid w:val="2542284E"/>
    <w:rsid w:val="27256DCA"/>
    <w:rsid w:val="27EF7C43"/>
    <w:rsid w:val="280A3E6A"/>
    <w:rsid w:val="28415B34"/>
    <w:rsid w:val="2894550D"/>
    <w:rsid w:val="28ED54E9"/>
    <w:rsid w:val="28F13E8E"/>
    <w:rsid w:val="2D643A5A"/>
    <w:rsid w:val="2D6C0024"/>
    <w:rsid w:val="2E800482"/>
    <w:rsid w:val="2EEA6DF4"/>
    <w:rsid w:val="2F0B2AC9"/>
    <w:rsid w:val="2F790766"/>
    <w:rsid w:val="32DE2766"/>
    <w:rsid w:val="330B1550"/>
    <w:rsid w:val="335207E6"/>
    <w:rsid w:val="33635342"/>
    <w:rsid w:val="352B58BE"/>
    <w:rsid w:val="362C69B0"/>
    <w:rsid w:val="382E311B"/>
    <w:rsid w:val="385308FF"/>
    <w:rsid w:val="38984AEA"/>
    <w:rsid w:val="38CB0089"/>
    <w:rsid w:val="39850A8F"/>
    <w:rsid w:val="39DA6024"/>
    <w:rsid w:val="39DF7E4E"/>
    <w:rsid w:val="3A657FCF"/>
    <w:rsid w:val="3BFF7F6C"/>
    <w:rsid w:val="3EE01F1E"/>
    <w:rsid w:val="3FA878E0"/>
    <w:rsid w:val="40B835E5"/>
    <w:rsid w:val="42B569E6"/>
    <w:rsid w:val="432E2E88"/>
    <w:rsid w:val="438944C4"/>
    <w:rsid w:val="46C865ED"/>
    <w:rsid w:val="4A4F7B4B"/>
    <w:rsid w:val="4B410DD3"/>
    <w:rsid w:val="4B7C40A4"/>
    <w:rsid w:val="554358BB"/>
    <w:rsid w:val="57CF33FA"/>
    <w:rsid w:val="596E6A57"/>
    <w:rsid w:val="59F52C36"/>
    <w:rsid w:val="5AAC3CE2"/>
    <w:rsid w:val="5AD10375"/>
    <w:rsid w:val="5B236085"/>
    <w:rsid w:val="5B62017C"/>
    <w:rsid w:val="5B6E076B"/>
    <w:rsid w:val="5BA57CC5"/>
    <w:rsid w:val="5D8B3324"/>
    <w:rsid w:val="61751D6F"/>
    <w:rsid w:val="61BD249C"/>
    <w:rsid w:val="62737936"/>
    <w:rsid w:val="641E18F4"/>
    <w:rsid w:val="642D5D40"/>
    <w:rsid w:val="66291CBA"/>
    <w:rsid w:val="67E43954"/>
    <w:rsid w:val="69CA226F"/>
    <w:rsid w:val="6AAE6E4D"/>
    <w:rsid w:val="6AF006B5"/>
    <w:rsid w:val="6BFC6684"/>
    <w:rsid w:val="6C76580D"/>
    <w:rsid w:val="702B091C"/>
    <w:rsid w:val="72802C87"/>
    <w:rsid w:val="72B42786"/>
    <w:rsid w:val="734A5583"/>
    <w:rsid w:val="749F2FBB"/>
    <w:rsid w:val="76294BAF"/>
    <w:rsid w:val="770653CE"/>
    <w:rsid w:val="796932D5"/>
    <w:rsid w:val="79C42B2B"/>
    <w:rsid w:val="79E80C00"/>
    <w:rsid w:val="7B06746E"/>
    <w:rsid w:val="7D6D49E4"/>
    <w:rsid w:val="7DA92C7A"/>
    <w:rsid w:val="7E86313C"/>
    <w:rsid w:val="7EDC014B"/>
    <w:rsid w:val="7F3152DD"/>
    <w:rsid w:val="7FE12D63"/>
    <w:rsid w:val="7FF44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unhideWhenUsed/>
    <w:qFormat/>
    <w:uiPriority w:val="0"/>
    <w:pPr>
      <w:ind w:firstLine="630"/>
    </w:pPr>
    <w:rPr>
      <w:rFonts w:eastAsia="仿宋_GB2312"/>
      <w:kern w:val="0"/>
      <w:sz w:val="32"/>
      <w:szCs w:val="20"/>
    </w:rPr>
  </w:style>
  <w:style w:type="paragraph" w:styleId="5">
    <w:name w:val="Body Text"/>
    <w:basedOn w:val="1"/>
    <w:qFormat/>
    <w:uiPriority w:val="0"/>
    <w:pPr>
      <w:spacing w:after="120"/>
    </w:pPr>
    <w:rPr>
      <w:rFonts w:eastAsia="仿宋_GB2312"/>
      <w:sz w:val="32"/>
      <w:szCs w:val="20"/>
    </w:rPr>
  </w:style>
  <w:style w:type="paragraph" w:styleId="6">
    <w:name w:val="Body Text Indent"/>
    <w:basedOn w:val="1"/>
    <w:qFormat/>
    <w:uiPriority w:val="0"/>
    <w:pPr>
      <w:tabs>
        <w:tab w:val="left" w:pos="540"/>
        <w:tab w:val="left" w:pos="720"/>
      </w:tabs>
      <w:ind w:firstLine="622" w:firstLineChars="200"/>
    </w:pPr>
    <w:rPr>
      <w:rFonts w:ascii="仿宋_GB2312" w:hAnsi="宋体" w:eastAsia="仿宋_GB2312"/>
      <w:sz w:val="32"/>
      <w:szCs w:val="20"/>
    </w:rPr>
  </w:style>
  <w:style w:type="paragraph" w:styleId="7">
    <w:name w:val="Date"/>
    <w:basedOn w:val="1"/>
    <w:next w:val="1"/>
    <w:qFormat/>
    <w:uiPriority w:val="0"/>
    <w:pPr>
      <w:ind w:left="100" w:leftChars="2500"/>
    </w:pPr>
  </w:style>
  <w:style w:type="paragraph" w:styleId="8">
    <w:name w:val="Body Text Indent 2"/>
    <w:basedOn w:val="1"/>
    <w:qFormat/>
    <w:uiPriority w:val="0"/>
    <w:pPr>
      <w:ind w:firstLine="660"/>
    </w:pPr>
    <w:rPr>
      <w:rFonts w:ascii="楷体_GB2312" w:eastAsia="楷体_GB2312"/>
      <w:sz w:val="32"/>
    </w:r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before="80" w:after="180"/>
      <w:ind w:firstLine="643" w:firstLineChars="200"/>
    </w:pPr>
    <w:rPr>
      <w:rFonts w:ascii="仿宋_GB2312" w:eastAsia="仿宋_GB2312"/>
      <w:b/>
      <w:sz w:val="32"/>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22"/>
    <w:rPr>
      <w:b/>
      <w:bCs/>
    </w:rPr>
  </w:style>
  <w:style w:type="character" w:styleId="17">
    <w:name w:val="page number"/>
    <w:basedOn w:val="15"/>
    <w:qFormat/>
    <w:uiPriority w:val="0"/>
  </w:style>
  <w:style w:type="paragraph" w:customStyle="1" w:styleId="18">
    <w:name w:val="秘密紧急"/>
    <w:basedOn w:val="1"/>
    <w:qFormat/>
    <w:uiPriority w:val="0"/>
    <w:pPr>
      <w:jc w:val="right"/>
    </w:pPr>
    <w:rPr>
      <w:rFonts w:ascii="黑体" w:eastAsia="黑体"/>
      <w:sz w:val="32"/>
      <w:szCs w:val="20"/>
    </w:rPr>
  </w:style>
  <w:style w:type="paragraph" w:customStyle="1" w:styleId="19">
    <w:name w:val="默认段落字体 Para Char Char Char Char Char Char Char Char Char Char"/>
    <w:basedOn w:val="1"/>
    <w:qFormat/>
    <w:uiPriority w:val="0"/>
    <w:rPr>
      <w:szCs w:val="21"/>
    </w:rPr>
  </w:style>
  <w:style w:type="paragraph" w:customStyle="1" w:styleId="2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styleId="21">
    <w:name w:val="List Paragraph"/>
    <w:basedOn w:val="1"/>
    <w:qFormat/>
    <w:uiPriority w:val="99"/>
    <w:pPr>
      <w:ind w:firstLine="420" w:firstLineChars="200"/>
    </w:pPr>
    <w:rPr>
      <w:rFonts w:ascii="Calibri" w:hAnsi="Calibri"/>
      <w:szCs w:val="22"/>
    </w:rPr>
  </w:style>
  <w:style w:type="paragraph" w:customStyle="1" w:styleId="22">
    <w:name w:val="列出段落1"/>
    <w:basedOn w:val="1"/>
    <w:qFormat/>
    <w:uiPriority w:val="99"/>
    <w:pPr>
      <w:ind w:firstLine="420" w:firstLineChars="200"/>
    </w:pPr>
    <w:rPr>
      <w:rFonts w:ascii="Calibri" w:hAnsi="Calibri"/>
      <w:szCs w:val="22"/>
    </w:rPr>
  </w:style>
  <w:style w:type="paragraph" w:customStyle="1" w:styleId="23">
    <w:name w:val="列出段落2"/>
    <w:basedOn w:val="1"/>
    <w:qFormat/>
    <w:uiPriority w:val="99"/>
    <w:pPr>
      <w:ind w:firstLine="420" w:firstLineChars="200"/>
    </w:pPr>
    <w:rPr>
      <w:rFonts w:ascii="Calibri" w:hAnsi="Calibri"/>
      <w:szCs w:val="22"/>
    </w:r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5">
    <w:name w:val="zhang"/>
    <w:basedOn w:val="1"/>
    <w:qFormat/>
    <w:uiPriority w:val="0"/>
    <w:pPr>
      <w:widowControl/>
      <w:spacing w:before="100" w:beforeAutospacing="1" w:after="100" w:afterAutospacing="1"/>
      <w:jc w:val="left"/>
    </w:pPr>
    <w:rPr>
      <w:rFonts w:ascii="宋体" w:hAnsi="宋体" w:cs="宋体"/>
      <w:b/>
      <w:bCs/>
      <w:smallCaps/>
      <w:color w:val="000000"/>
      <w:kern w:val="0"/>
      <w:sz w:val="20"/>
    </w:rPr>
  </w:style>
  <w:style w:type="paragraph" w:styleId="26">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Body text|1"/>
    <w:basedOn w:val="1"/>
    <w:qFormat/>
    <w:uiPriority w:val="0"/>
    <w:pPr>
      <w:spacing w:line="396" w:lineRule="auto"/>
      <w:ind w:firstLine="400"/>
      <w:jc w:val="left"/>
    </w:pPr>
    <w:rPr>
      <w:rFonts w:ascii="宋体" w:hAnsi="宋体" w:cs="宋体"/>
      <w:sz w:val="20"/>
      <w:szCs w:val="20"/>
      <w:lang w:val="zh-CN" w:bidi="zh-CN"/>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ll\Application%20Data\Microsoft\Templates\Normal&#25919;&#242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Normal政府</Template>
  <Company>盐田区政府</Company>
  <Pages>12</Pages>
  <Words>5639</Words>
  <Characters>356</Characters>
  <Lines>2</Lines>
  <Paragraphs>11</Paragraphs>
  <TotalTime>2</TotalTime>
  <ScaleCrop>false</ScaleCrop>
  <LinksUpToDate>false</LinksUpToDate>
  <CharactersWithSpaces>5984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2020-05-20T09:56:00Z</dcterms:created>
  <dc:creator>dell</dc:creator>
  <cp:lastModifiedBy>卢志敏</cp:lastModifiedBy>
  <cp:lastPrinted>2019-12-05T07:02:00Z</cp:lastPrinted>
  <dcterms:modified xsi:type="dcterms:W3CDTF">2020-05-20T09:58:49Z</dcterms:modified>
  <dc:title>市委文件印制格式标准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